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40EFB" w14:textId="77777777" w:rsidR="00BC4F73" w:rsidRPr="00CB2D23" w:rsidRDefault="00BC4F73" w:rsidP="00BA2340">
      <w:pPr>
        <w:rPr>
          <w:lang w:eastAsia="hr-HR"/>
        </w:rPr>
      </w:pPr>
      <w:bookmarkStart w:id="0" w:name="_GoBack"/>
      <w:bookmarkEnd w:id="0"/>
    </w:p>
    <w:p w14:paraId="6D840EFC" w14:textId="77777777" w:rsidR="00BC4F73" w:rsidRPr="00CB2D23" w:rsidRDefault="00BC4F73" w:rsidP="00BC4F73">
      <w:pPr>
        <w:spacing w:after="0" w:line="240" w:lineRule="auto"/>
        <w:jc w:val="center"/>
        <w:rPr>
          <w:rFonts w:ascii="Arial Narrow" w:eastAsia="Times New Roman" w:hAnsi="Arial Narrow" w:cs="Arial"/>
          <w:b/>
          <w:sz w:val="36"/>
          <w:szCs w:val="36"/>
          <w:lang w:eastAsia="hr-HR"/>
        </w:rPr>
      </w:pPr>
      <w:r w:rsidRPr="00CB2D23">
        <w:rPr>
          <w:rFonts w:ascii="Arial Narrow" w:eastAsia="Times New Roman" w:hAnsi="Arial Narrow" w:cs="Arial"/>
          <w:b/>
          <w:noProof/>
          <w:sz w:val="36"/>
          <w:szCs w:val="36"/>
          <w:lang w:eastAsia="hr-HR"/>
        </w:rPr>
        <w:drawing>
          <wp:anchor distT="0" distB="0" distL="114300" distR="114300" simplePos="0" relativeHeight="251659264" behindDoc="0" locked="0" layoutInCell="1" allowOverlap="1" wp14:anchorId="6D8415B2" wp14:editId="6D8415B3">
            <wp:simplePos x="0" y="0"/>
            <wp:positionH relativeFrom="column">
              <wp:posOffset>4343400</wp:posOffset>
            </wp:positionH>
            <wp:positionV relativeFrom="paragraph">
              <wp:posOffset>40005</wp:posOffset>
            </wp:positionV>
            <wp:extent cx="457200" cy="571500"/>
            <wp:effectExtent l="0" t="0" r="0" b="0"/>
            <wp:wrapSquare wrapText="right"/>
            <wp:docPr id="1" name="Picture 2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RH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840EFD" w14:textId="77777777" w:rsidR="00BC4F73" w:rsidRPr="00CB2D23" w:rsidRDefault="00BC4F73" w:rsidP="00BC4F73">
      <w:pPr>
        <w:spacing w:after="0" w:line="240" w:lineRule="auto"/>
        <w:jc w:val="center"/>
        <w:rPr>
          <w:rFonts w:ascii="Arial Narrow" w:eastAsia="Times New Roman" w:hAnsi="Arial Narrow" w:cs="Arial"/>
          <w:b/>
          <w:sz w:val="36"/>
          <w:szCs w:val="36"/>
          <w:lang w:eastAsia="hr-HR"/>
        </w:rPr>
      </w:pPr>
    </w:p>
    <w:p w14:paraId="6D840EFE" w14:textId="77777777" w:rsidR="00BC4F73" w:rsidRPr="00CB2D23" w:rsidRDefault="00BC4F73" w:rsidP="00BC4F73">
      <w:pPr>
        <w:spacing w:after="0" w:line="240" w:lineRule="auto"/>
        <w:jc w:val="center"/>
        <w:rPr>
          <w:rFonts w:ascii="Arial Narrow" w:eastAsia="Times New Roman" w:hAnsi="Arial Narrow" w:cs="Arial"/>
          <w:b/>
          <w:sz w:val="36"/>
          <w:szCs w:val="36"/>
          <w:lang w:eastAsia="hr-HR"/>
        </w:rPr>
      </w:pPr>
    </w:p>
    <w:p w14:paraId="6D840EFF" w14:textId="77777777" w:rsidR="00BC4F73" w:rsidRPr="00CB2D23" w:rsidRDefault="00BC4F73" w:rsidP="00BC4F73">
      <w:pPr>
        <w:spacing w:after="0" w:line="240" w:lineRule="auto"/>
        <w:jc w:val="center"/>
        <w:rPr>
          <w:rFonts w:ascii="Arial Narrow" w:eastAsia="Times New Roman" w:hAnsi="Arial Narrow" w:cs="Arial"/>
          <w:b/>
          <w:sz w:val="36"/>
          <w:szCs w:val="36"/>
          <w:lang w:eastAsia="hr-HR"/>
        </w:rPr>
      </w:pPr>
    </w:p>
    <w:p w14:paraId="6D840F00" w14:textId="77777777" w:rsidR="00BC4F73" w:rsidRPr="00CB2D23" w:rsidRDefault="00BC4F73" w:rsidP="00BC4F73">
      <w:pPr>
        <w:spacing w:after="0" w:line="240" w:lineRule="auto"/>
        <w:jc w:val="center"/>
        <w:rPr>
          <w:rFonts w:ascii="Arial Narrow" w:eastAsia="Times New Roman" w:hAnsi="Arial Narrow" w:cs="Arial"/>
          <w:b/>
          <w:sz w:val="36"/>
          <w:szCs w:val="36"/>
          <w:lang w:eastAsia="hr-HR"/>
        </w:rPr>
      </w:pPr>
      <w:r w:rsidRPr="00CB2D23">
        <w:rPr>
          <w:rFonts w:ascii="Arial Narrow" w:eastAsia="Times New Roman" w:hAnsi="Arial Narrow" w:cs="Arial"/>
          <w:b/>
          <w:sz w:val="36"/>
          <w:szCs w:val="36"/>
          <w:lang w:eastAsia="hr-HR"/>
        </w:rPr>
        <w:t>VLADA REPUBLIKE HRVATSKE</w:t>
      </w:r>
    </w:p>
    <w:p w14:paraId="6D840F01" w14:textId="77777777" w:rsidR="00BC4F73" w:rsidRPr="00CB2D23" w:rsidRDefault="00BC4F73" w:rsidP="00BC4F73">
      <w:pPr>
        <w:spacing w:after="0" w:line="240" w:lineRule="auto"/>
        <w:jc w:val="center"/>
        <w:rPr>
          <w:rFonts w:ascii="Arial Narrow" w:eastAsia="Times New Roman" w:hAnsi="Arial Narrow" w:cs="Arial"/>
          <w:b/>
          <w:sz w:val="36"/>
          <w:szCs w:val="36"/>
          <w:lang w:eastAsia="hr-HR"/>
        </w:rPr>
      </w:pPr>
    </w:p>
    <w:p w14:paraId="6D840F02" w14:textId="77777777" w:rsidR="00BC4F73" w:rsidRPr="00CB2D23" w:rsidRDefault="00BC4F73" w:rsidP="00BC4F73">
      <w:pPr>
        <w:spacing w:after="0" w:line="240" w:lineRule="auto"/>
        <w:jc w:val="center"/>
        <w:rPr>
          <w:rFonts w:ascii="Arial Narrow" w:eastAsia="Times New Roman" w:hAnsi="Arial Narrow" w:cs="Arial"/>
          <w:b/>
          <w:sz w:val="36"/>
          <w:szCs w:val="36"/>
          <w:lang w:eastAsia="hr-HR"/>
        </w:rPr>
      </w:pPr>
    </w:p>
    <w:p w14:paraId="6D840F03" w14:textId="77777777" w:rsidR="00BC4F73" w:rsidRPr="00CB2D23" w:rsidRDefault="00BC4F73" w:rsidP="00BC4F73">
      <w:pPr>
        <w:spacing w:after="0" w:line="240" w:lineRule="auto"/>
        <w:jc w:val="center"/>
        <w:rPr>
          <w:rFonts w:ascii="Arial Narrow" w:eastAsia="Times New Roman" w:hAnsi="Arial Narrow" w:cs="Arial"/>
          <w:b/>
          <w:sz w:val="36"/>
          <w:szCs w:val="36"/>
          <w:lang w:eastAsia="hr-HR"/>
        </w:rPr>
      </w:pPr>
    </w:p>
    <w:p w14:paraId="6D840F04" w14:textId="77777777" w:rsidR="00BC4F73" w:rsidRPr="00CB2D23" w:rsidRDefault="00BC4F73" w:rsidP="00BC4F73">
      <w:pPr>
        <w:spacing w:after="0" w:line="240" w:lineRule="auto"/>
        <w:rPr>
          <w:rFonts w:ascii="Arial Narrow" w:eastAsia="Times New Roman" w:hAnsi="Arial Narrow" w:cs="Arial"/>
          <w:b/>
          <w:sz w:val="36"/>
          <w:szCs w:val="36"/>
          <w:lang w:eastAsia="hr-HR"/>
        </w:rPr>
      </w:pPr>
    </w:p>
    <w:p w14:paraId="6D840F05" w14:textId="77777777" w:rsidR="00BC4F73" w:rsidRPr="00CB2D23" w:rsidRDefault="00BC4F73" w:rsidP="00BC4F73">
      <w:pPr>
        <w:spacing w:after="0" w:line="240" w:lineRule="auto"/>
        <w:jc w:val="center"/>
        <w:rPr>
          <w:rFonts w:ascii="Arial Narrow" w:eastAsia="Times New Roman" w:hAnsi="Arial Narrow" w:cs="Arial"/>
          <w:b/>
          <w:sz w:val="36"/>
          <w:szCs w:val="36"/>
          <w:lang w:eastAsia="hr-HR"/>
        </w:rPr>
      </w:pPr>
    </w:p>
    <w:p w14:paraId="6D840F06" w14:textId="77777777" w:rsidR="00BC4F73" w:rsidRPr="00CB2D23" w:rsidRDefault="004314E9" w:rsidP="00BC4F73">
      <w:pPr>
        <w:spacing w:after="0" w:line="240" w:lineRule="auto"/>
        <w:jc w:val="center"/>
        <w:rPr>
          <w:rFonts w:ascii="Arial Narrow" w:eastAsia="Times New Roman" w:hAnsi="Arial Narrow" w:cs="Arial"/>
          <w:b/>
          <w:sz w:val="36"/>
          <w:szCs w:val="36"/>
          <w:lang w:eastAsia="hr-HR"/>
        </w:rPr>
      </w:pPr>
      <w:r>
        <w:rPr>
          <w:rFonts w:ascii="Arial Narrow" w:eastAsia="Times New Roman" w:hAnsi="Arial Narrow" w:cs="Arial"/>
          <w:b/>
          <w:sz w:val="36"/>
          <w:szCs w:val="36"/>
          <w:lang w:eastAsia="hr-HR"/>
        </w:rPr>
        <w:t>AKCIJSKI PLAN</w:t>
      </w:r>
      <w:r w:rsidR="00BC4F73" w:rsidRPr="00CB2D23">
        <w:rPr>
          <w:rFonts w:ascii="Arial Narrow" w:eastAsia="Times New Roman" w:hAnsi="Arial Narrow" w:cs="Arial"/>
          <w:b/>
          <w:sz w:val="36"/>
          <w:szCs w:val="36"/>
          <w:lang w:eastAsia="hr-HR"/>
        </w:rPr>
        <w:t xml:space="preserve"> ZA UNAPRJEĐENJE </w:t>
      </w:r>
    </w:p>
    <w:p w14:paraId="6D840F07" w14:textId="77777777" w:rsidR="00BC4F73" w:rsidRPr="00CB2D23" w:rsidRDefault="00BC4F73" w:rsidP="00BC4F73">
      <w:pPr>
        <w:spacing w:after="0" w:line="240" w:lineRule="auto"/>
        <w:jc w:val="center"/>
        <w:rPr>
          <w:rFonts w:ascii="Arial Narrow" w:eastAsia="Times New Roman" w:hAnsi="Arial Narrow" w:cs="Arial"/>
          <w:b/>
          <w:sz w:val="36"/>
          <w:szCs w:val="36"/>
          <w:lang w:eastAsia="hr-HR"/>
        </w:rPr>
      </w:pPr>
      <w:r w:rsidRPr="00CB2D23">
        <w:rPr>
          <w:rFonts w:ascii="Arial Narrow" w:eastAsia="Times New Roman" w:hAnsi="Arial Narrow" w:cs="Arial"/>
          <w:b/>
          <w:sz w:val="36"/>
          <w:szCs w:val="36"/>
          <w:lang w:eastAsia="hr-HR"/>
        </w:rPr>
        <w:t>FINANCIJS</w:t>
      </w:r>
      <w:r>
        <w:rPr>
          <w:rFonts w:ascii="Arial Narrow" w:eastAsia="Times New Roman" w:hAnsi="Arial Narrow" w:cs="Arial"/>
          <w:b/>
          <w:sz w:val="36"/>
          <w:szCs w:val="36"/>
          <w:lang w:eastAsia="hr-HR"/>
        </w:rPr>
        <w:t>KE PISMENOSTI POTROŠAČA ZA 2019.</w:t>
      </w:r>
      <w:r w:rsidRPr="00CB2D23">
        <w:rPr>
          <w:rFonts w:ascii="Arial Narrow" w:eastAsia="Times New Roman" w:hAnsi="Arial Narrow" w:cs="Arial"/>
          <w:b/>
          <w:sz w:val="36"/>
          <w:szCs w:val="36"/>
          <w:lang w:eastAsia="hr-HR"/>
        </w:rPr>
        <w:t xml:space="preserve"> GODINU</w:t>
      </w:r>
    </w:p>
    <w:p w14:paraId="6D840F08" w14:textId="77777777" w:rsidR="00BC4F73" w:rsidRPr="00CB2D23" w:rsidRDefault="00BC4F73" w:rsidP="00BC4F73">
      <w:pPr>
        <w:spacing w:after="0" w:line="240" w:lineRule="auto"/>
        <w:jc w:val="center"/>
        <w:rPr>
          <w:rFonts w:ascii="Arial Narrow" w:eastAsia="Times New Roman" w:hAnsi="Arial Narrow" w:cs="Arial"/>
          <w:b/>
          <w:sz w:val="36"/>
          <w:szCs w:val="36"/>
          <w:lang w:eastAsia="hr-HR"/>
        </w:rPr>
      </w:pPr>
    </w:p>
    <w:p w14:paraId="6D840F09" w14:textId="77777777" w:rsidR="00BC4F73" w:rsidRPr="00CB2D23" w:rsidRDefault="00BC4F73" w:rsidP="00BC4F73">
      <w:pPr>
        <w:spacing w:after="0" w:line="240" w:lineRule="auto"/>
        <w:jc w:val="center"/>
        <w:rPr>
          <w:rFonts w:ascii="Arial Narrow" w:eastAsia="Times New Roman" w:hAnsi="Arial Narrow" w:cs="Arial"/>
          <w:b/>
          <w:sz w:val="36"/>
          <w:szCs w:val="36"/>
          <w:lang w:eastAsia="hr-HR"/>
        </w:rPr>
      </w:pPr>
    </w:p>
    <w:p w14:paraId="6D840F0A" w14:textId="77777777" w:rsidR="00BC4F73" w:rsidRPr="00CB2D23" w:rsidRDefault="00BC4F73" w:rsidP="00BC4F73">
      <w:pPr>
        <w:spacing w:after="0" w:line="240" w:lineRule="auto"/>
        <w:jc w:val="center"/>
        <w:rPr>
          <w:rFonts w:ascii="Arial Narrow" w:eastAsia="Times New Roman" w:hAnsi="Arial Narrow" w:cs="Arial"/>
          <w:b/>
          <w:sz w:val="36"/>
          <w:szCs w:val="36"/>
          <w:lang w:eastAsia="hr-HR"/>
        </w:rPr>
      </w:pPr>
    </w:p>
    <w:p w14:paraId="6D840F0B" w14:textId="77777777" w:rsidR="00BC4F73" w:rsidRPr="00CB2D23" w:rsidRDefault="00BC4F73" w:rsidP="00BC4F73">
      <w:pPr>
        <w:spacing w:after="0" w:line="240" w:lineRule="auto"/>
        <w:jc w:val="center"/>
        <w:rPr>
          <w:rFonts w:ascii="Arial Narrow" w:eastAsia="Times New Roman" w:hAnsi="Arial Narrow" w:cs="Arial"/>
          <w:b/>
          <w:sz w:val="36"/>
          <w:szCs w:val="36"/>
          <w:lang w:eastAsia="hr-HR"/>
        </w:rPr>
      </w:pPr>
    </w:p>
    <w:p w14:paraId="6D840F0C" w14:textId="77777777" w:rsidR="00BC4F73" w:rsidRPr="00CB2D23" w:rsidRDefault="002E6603" w:rsidP="00BC4F73">
      <w:pPr>
        <w:spacing w:after="0" w:line="240" w:lineRule="auto"/>
        <w:jc w:val="center"/>
        <w:rPr>
          <w:rFonts w:ascii="Arial Narrow" w:eastAsia="Times New Roman" w:hAnsi="Arial Narrow" w:cs="Arial"/>
          <w:b/>
          <w:sz w:val="36"/>
          <w:szCs w:val="36"/>
          <w:lang w:eastAsia="hr-HR"/>
        </w:rPr>
      </w:pPr>
      <w:r>
        <w:rPr>
          <w:rFonts w:ascii="Arial Narrow" w:eastAsia="Times New Roman" w:hAnsi="Arial Narrow" w:cs="Arial"/>
          <w:b/>
          <w:sz w:val="36"/>
          <w:szCs w:val="36"/>
          <w:lang w:eastAsia="hr-HR"/>
        </w:rPr>
        <w:t xml:space="preserve">Zagreb, </w:t>
      </w:r>
      <w:r w:rsidR="004314E9">
        <w:rPr>
          <w:rFonts w:ascii="Arial Narrow" w:eastAsia="Times New Roman" w:hAnsi="Arial Narrow" w:cs="Arial"/>
          <w:b/>
          <w:sz w:val="36"/>
          <w:szCs w:val="36"/>
          <w:lang w:eastAsia="hr-HR"/>
        </w:rPr>
        <w:t>ožujak</w:t>
      </w:r>
      <w:r w:rsidR="00A64FA7">
        <w:rPr>
          <w:rFonts w:ascii="Arial Narrow" w:eastAsia="Times New Roman" w:hAnsi="Arial Narrow" w:cs="Arial"/>
          <w:b/>
          <w:sz w:val="36"/>
          <w:szCs w:val="36"/>
          <w:lang w:eastAsia="hr-HR"/>
        </w:rPr>
        <w:t xml:space="preserve"> </w:t>
      </w:r>
      <w:r>
        <w:rPr>
          <w:rFonts w:ascii="Arial Narrow" w:eastAsia="Times New Roman" w:hAnsi="Arial Narrow" w:cs="Arial"/>
          <w:b/>
          <w:sz w:val="36"/>
          <w:szCs w:val="36"/>
          <w:lang w:eastAsia="hr-HR"/>
        </w:rPr>
        <w:t>2019</w:t>
      </w:r>
      <w:r w:rsidR="00BC4F73" w:rsidRPr="00CB2D23">
        <w:rPr>
          <w:rFonts w:ascii="Arial Narrow" w:eastAsia="Times New Roman" w:hAnsi="Arial Narrow" w:cs="Arial"/>
          <w:b/>
          <w:sz w:val="36"/>
          <w:szCs w:val="36"/>
          <w:lang w:eastAsia="hr-HR"/>
        </w:rPr>
        <w:t>.</w:t>
      </w:r>
    </w:p>
    <w:p w14:paraId="6D840F0D" w14:textId="77777777" w:rsidR="00BC4F73" w:rsidRPr="00CB2D23" w:rsidRDefault="00BC4F73" w:rsidP="00BC4F73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hr-HR"/>
        </w:rPr>
      </w:pPr>
    </w:p>
    <w:p w14:paraId="6D840F0E" w14:textId="77777777" w:rsidR="00BC4F73" w:rsidRPr="00CB2D23" w:rsidRDefault="00BC4F73" w:rsidP="00BC4F73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hr-HR"/>
        </w:rPr>
      </w:pPr>
    </w:p>
    <w:p w14:paraId="6D840F0F" w14:textId="77777777" w:rsidR="00BC4F73" w:rsidRPr="00CB2D23" w:rsidRDefault="00BC4F73" w:rsidP="00BC4F73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hr-HR"/>
        </w:rPr>
      </w:pPr>
    </w:p>
    <w:p w14:paraId="6D840F10" w14:textId="77777777" w:rsidR="00BC4F73" w:rsidRPr="00CB2D23" w:rsidRDefault="00BC4F73" w:rsidP="00BC4F73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hr-HR"/>
        </w:rPr>
      </w:pPr>
    </w:p>
    <w:p w14:paraId="6D840F11" w14:textId="77777777" w:rsidR="00BC4F73" w:rsidRPr="00CB2D23" w:rsidRDefault="00BC4F73" w:rsidP="00BC4F73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hr-HR"/>
        </w:rPr>
      </w:pPr>
    </w:p>
    <w:p w14:paraId="6D840F12" w14:textId="77777777" w:rsidR="00BC4F73" w:rsidRPr="00CB2D23" w:rsidRDefault="00BC4F73" w:rsidP="00BC4F73">
      <w:pPr>
        <w:spacing w:after="0" w:line="336" w:lineRule="atLeast"/>
        <w:rPr>
          <w:rFonts w:ascii="Arial Narrow" w:eastAsia="Times New Roman" w:hAnsi="Arial Narrow" w:cs="Times New Roman"/>
          <w:color w:val="666666"/>
          <w:lang w:eastAsia="hr-HR"/>
        </w:rPr>
      </w:pPr>
    </w:p>
    <w:p w14:paraId="6D840F13" w14:textId="77777777" w:rsidR="00BC4F73" w:rsidRPr="00CB2D23" w:rsidRDefault="00BC4F73" w:rsidP="00BC4F73">
      <w:pPr>
        <w:spacing w:after="0" w:line="336" w:lineRule="atLeast"/>
        <w:jc w:val="center"/>
        <w:rPr>
          <w:rFonts w:ascii="Arial Narrow" w:eastAsia="Times New Roman" w:hAnsi="Arial Narrow" w:cs="Times New Roman"/>
          <w:color w:val="666666"/>
          <w:lang w:eastAsia="hr-HR"/>
        </w:rPr>
      </w:pPr>
      <w:r w:rsidRPr="00CB2D23">
        <w:rPr>
          <w:rFonts w:ascii="Arial Narrow" w:eastAsia="Times New Roman" w:hAnsi="Arial Narrow" w:cs="Times New Roman"/>
          <w:color w:val="666666"/>
          <w:lang w:eastAsia="hr-HR"/>
        </w:rPr>
        <w:t>AKCIJSKI PLAN ZA UNAPRJEĐENJE FINANCIJ</w:t>
      </w:r>
      <w:r>
        <w:rPr>
          <w:rFonts w:ascii="Arial Narrow" w:eastAsia="Times New Roman" w:hAnsi="Arial Narrow" w:cs="Times New Roman"/>
          <w:color w:val="666666"/>
          <w:lang w:eastAsia="hr-HR"/>
        </w:rPr>
        <w:t>SKE PISMENOSTI POTROŠAČA ZA 2019</w:t>
      </w:r>
      <w:r w:rsidRPr="00CB2D23">
        <w:rPr>
          <w:rFonts w:ascii="Arial Narrow" w:eastAsia="Times New Roman" w:hAnsi="Arial Narrow" w:cs="Times New Roman"/>
          <w:color w:val="666666"/>
          <w:lang w:eastAsia="hr-HR"/>
        </w:rPr>
        <w:t>. GODINU</w:t>
      </w:r>
    </w:p>
    <w:p w14:paraId="6D840F14" w14:textId="77777777" w:rsidR="00BC4F73" w:rsidRPr="00CB2D23" w:rsidRDefault="00BC4F73" w:rsidP="00BC4F73">
      <w:pPr>
        <w:spacing w:after="0" w:line="336" w:lineRule="atLeast"/>
        <w:jc w:val="center"/>
        <w:rPr>
          <w:rFonts w:ascii="Arial Narrow" w:eastAsia="Times New Roman" w:hAnsi="Arial Narrow" w:cs="Times New Roman"/>
          <w:color w:val="666666"/>
          <w:lang w:eastAsia="hr-HR"/>
        </w:rPr>
      </w:pPr>
      <w:r w:rsidRPr="00CB2D23">
        <w:rPr>
          <w:rFonts w:ascii="Arial Narrow" w:eastAsia="Times New Roman" w:hAnsi="Arial Narrow" w:cs="Times New Roman"/>
          <w:color w:val="666666"/>
          <w:lang w:eastAsia="hr-HR"/>
        </w:rPr>
        <w:t>UVOD</w:t>
      </w:r>
    </w:p>
    <w:p w14:paraId="6D840F15" w14:textId="77777777" w:rsidR="00BC4F73" w:rsidRPr="00E776D3" w:rsidRDefault="00BC4F73" w:rsidP="00BC4F73">
      <w:pPr>
        <w:spacing w:after="0" w:line="336" w:lineRule="atLeast"/>
        <w:jc w:val="both"/>
        <w:rPr>
          <w:rFonts w:ascii="Arial Narrow" w:eastAsia="Times New Roman" w:hAnsi="Arial Narrow" w:cs="Times New Roman"/>
          <w:color w:val="666666"/>
          <w:lang w:eastAsia="hr-HR"/>
        </w:rPr>
      </w:pPr>
      <w:r>
        <w:rPr>
          <w:rFonts w:ascii="Arial Narrow" w:eastAsia="Times New Roman" w:hAnsi="Arial Narrow" w:cs="Times New Roman"/>
          <w:color w:val="666666"/>
          <w:lang w:eastAsia="hr-HR"/>
        </w:rPr>
        <w:t xml:space="preserve">Vlada Republike Hrvatske je na sjednici </w:t>
      </w:r>
      <w:r w:rsidRPr="00730A7B">
        <w:rPr>
          <w:rFonts w:ascii="Arial Narrow" w:eastAsia="Times New Roman" w:hAnsi="Arial Narrow" w:cs="Times New Roman"/>
          <w:color w:val="666666"/>
          <w:lang w:eastAsia="hr-HR"/>
        </w:rPr>
        <w:t>održanoj 29. siječnja 2015. godine usvojila Zaključak kojim se prihvaća Nacionalni strateški okvir financijske pismenosti potrošača za razdoblje od 2015. do 2020. go</w:t>
      </w:r>
      <w:r>
        <w:rPr>
          <w:rFonts w:ascii="Arial Narrow" w:eastAsia="Times New Roman" w:hAnsi="Arial Narrow" w:cs="Times New Roman"/>
          <w:color w:val="666666"/>
          <w:lang w:eastAsia="hr-HR"/>
        </w:rPr>
        <w:t>dine (Narodne novine, broj</w:t>
      </w:r>
      <w:r w:rsidR="002E6603">
        <w:rPr>
          <w:rFonts w:ascii="Arial Narrow" w:eastAsia="Times New Roman" w:hAnsi="Arial Narrow" w:cs="Times New Roman"/>
          <w:color w:val="666666"/>
          <w:lang w:eastAsia="hr-HR"/>
        </w:rPr>
        <w:t xml:space="preserve"> </w:t>
      </w:r>
      <w:r>
        <w:rPr>
          <w:rFonts w:ascii="Arial Narrow" w:eastAsia="Times New Roman" w:hAnsi="Arial Narrow" w:cs="Times New Roman"/>
          <w:color w:val="666666"/>
          <w:lang w:eastAsia="hr-HR"/>
        </w:rPr>
        <w:t xml:space="preserve">11/15, </w:t>
      </w:r>
      <w:r w:rsidRPr="00730A7B">
        <w:rPr>
          <w:rFonts w:ascii="Arial Narrow" w:eastAsia="Times New Roman" w:hAnsi="Arial Narrow" w:cs="Times New Roman"/>
          <w:color w:val="666666"/>
          <w:lang w:eastAsia="hr-HR"/>
        </w:rPr>
        <w:t>u daljnjem tekstu: Nacionalni strateški okvir fi</w:t>
      </w:r>
      <w:r>
        <w:rPr>
          <w:rFonts w:ascii="Arial Narrow" w:eastAsia="Times New Roman" w:hAnsi="Arial Narrow" w:cs="Times New Roman"/>
          <w:color w:val="666666"/>
          <w:lang w:eastAsia="hr-HR"/>
        </w:rPr>
        <w:t xml:space="preserve">nancijske pismenosti potrošača). </w:t>
      </w:r>
      <w:r w:rsidRPr="00E776D3">
        <w:rPr>
          <w:rFonts w:ascii="Arial Narrow" w:eastAsia="Times New Roman" w:hAnsi="Arial Narrow" w:cs="Times New Roman"/>
          <w:color w:val="666666"/>
          <w:lang w:eastAsia="hr-HR"/>
        </w:rPr>
        <w:t>Ciljevi  Nacionalnog strateškog okvira financijske pismenosti potrošača su razvoj kvalitete, povećanje kanala distribucije, ali i provođenje već poznatih i učinkovitih aktivnosti te zajedničko djelovanj</w:t>
      </w:r>
      <w:r w:rsidR="002E6603">
        <w:rPr>
          <w:rFonts w:ascii="Arial Narrow" w:eastAsia="Times New Roman" w:hAnsi="Arial Narrow" w:cs="Times New Roman"/>
          <w:color w:val="666666"/>
          <w:lang w:eastAsia="hr-HR"/>
        </w:rPr>
        <w:t>e svih dionika u svrhu financijskog opismenjavanja</w:t>
      </w:r>
      <w:r w:rsidRPr="00E776D3">
        <w:rPr>
          <w:rFonts w:ascii="Arial Narrow" w:eastAsia="Times New Roman" w:hAnsi="Arial Narrow" w:cs="Times New Roman"/>
          <w:color w:val="666666"/>
          <w:lang w:eastAsia="hr-HR"/>
        </w:rPr>
        <w:t xml:space="preserve"> stanovništ</w:t>
      </w:r>
      <w:r>
        <w:rPr>
          <w:rFonts w:ascii="Arial Narrow" w:eastAsia="Times New Roman" w:hAnsi="Arial Narrow" w:cs="Times New Roman"/>
          <w:color w:val="666666"/>
          <w:lang w:eastAsia="hr-HR"/>
        </w:rPr>
        <w:t>va</w:t>
      </w:r>
      <w:r w:rsidRPr="00E776D3">
        <w:rPr>
          <w:rFonts w:ascii="Arial Narrow" w:eastAsia="Times New Roman" w:hAnsi="Arial Narrow" w:cs="Times New Roman"/>
          <w:color w:val="666666"/>
          <w:lang w:eastAsia="hr-HR"/>
        </w:rPr>
        <w:t xml:space="preserve">. </w:t>
      </w:r>
    </w:p>
    <w:p w14:paraId="6D840F16" w14:textId="77777777" w:rsidR="00BC4F73" w:rsidRPr="00CB2D23" w:rsidRDefault="00BC4F73" w:rsidP="00BC4F73">
      <w:pPr>
        <w:spacing w:after="0" w:line="336" w:lineRule="atLeast"/>
        <w:jc w:val="both"/>
        <w:rPr>
          <w:rFonts w:ascii="Arial Narrow" w:eastAsia="Times New Roman" w:hAnsi="Arial Narrow" w:cs="Times New Roman"/>
          <w:color w:val="666666"/>
          <w:lang w:eastAsia="hr-HR"/>
        </w:rPr>
      </w:pPr>
      <w:r w:rsidRPr="00E776D3">
        <w:rPr>
          <w:rFonts w:ascii="Arial Narrow" w:eastAsia="Times New Roman" w:hAnsi="Arial Narrow" w:cs="Times New Roman"/>
          <w:color w:val="666666"/>
          <w:lang w:eastAsia="hr-HR"/>
        </w:rPr>
        <w:t xml:space="preserve">Da bi se navedeni ciljevi ostvarili </w:t>
      </w:r>
      <w:r w:rsidRPr="00CB2D23">
        <w:rPr>
          <w:rFonts w:ascii="Arial Narrow" w:eastAsia="Times New Roman" w:hAnsi="Arial Narrow" w:cs="Times New Roman"/>
          <w:color w:val="666666"/>
          <w:lang w:eastAsia="hr-HR"/>
        </w:rPr>
        <w:t>Ministarstvo financija, u suradnji s dionicima iz Nacionalnog strateškog okvira financijske pismenosti potrošača, svake godine izrađuje Akcijski plan za unaprjeđenje f</w:t>
      </w:r>
      <w:r>
        <w:rPr>
          <w:rFonts w:ascii="Arial Narrow" w:eastAsia="Times New Roman" w:hAnsi="Arial Narrow" w:cs="Times New Roman"/>
          <w:color w:val="666666"/>
          <w:lang w:eastAsia="hr-HR"/>
        </w:rPr>
        <w:t xml:space="preserve">inancijske pismenosti potrošača (u daljnjem tekstu: Akcijski plan) </w:t>
      </w:r>
      <w:r w:rsidRPr="00E776D3">
        <w:rPr>
          <w:rFonts w:ascii="Arial Narrow" w:eastAsia="Times New Roman" w:hAnsi="Arial Narrow" w:cs="Times New Roman"/>
          <w:color w:val="666666"/>
          <w:lang w:eastAsia="hr-HR"/>
        </w:rPr>
        <w:t>kojim se propisuju mjere i aktivnosti usmjerene prema podizanju financijske pismenosti.</w:t>
      </w:r>
      <w:r>
        <w:rPr>
          <w:rFonts w:ascii="Arial Narrow" w:eastAsia="Times New Roman" w:hAnsi="Arial Narrow" w:cs="Times New Roman"/>
          <w:color w:val="666666"/>
          <w:lang w:eastAsia="hr-HR"/>
        </w:rPr>
        <w:t xml:space="preserve">  U tu svrhu donosi se i </w:t>
      </w:r>
      <w:r w:rsidRPr="00CB2D23">
        <w:rPr>
          <w:rFonts w:ascii="Arial Narrow" w:eastAsia="Times New Roman" w:hAnsi="Arial Narrow" w:cs="Times New Roman"/>
          <w:color w:val="666666"/>
          <w:lang w:eastAsia="hr-HR"/>
        </w:rPr>
        <w:t>Akcijski plan za unaprjeđenje financij</w:t>
      </w:r>
      <w:r>
        <w:rPr>
          <w:rFonts w:ascii="Arial Narrow" w:eastAsia="Times New Roman" w:hAnsi="Arial Narrow" w:cs="Times New Roman"/>
          <w:color w:val="666666"/>
          <w:lang w:eastAsia="hr-HR"/>
        </w:rPr>
        <w:t xml:space="preserve">ske pismenosti potrošača za 2019. </w:t>
      </w:r>
      <w:r w:rsidRPr="00CB2D23">
        <w:rPr>
          <w:rFonts w:ascii="Arial Narrow" w:eastAsia="Times New Roman" w:hAnsi="Arial Narrow" w:cs="Times New Roman"/>
          <w:color w:val="666666"/>
          <w:lang w:eastAsia="hr-HR"/>
        </w:rPr>
        <w:t>godinu (u daljnje</w:t>
      </w:r>
      <w:r>
        <w:rPr>
          <w:rFonts w:ascii="Arial Narrow" w:eastAsia="Times New Roman" w:hAnsi="Arial Narrow" w:cs="Times New Roman"/>
          <w:color w:val="666666"/>
          <w:lang w:eastAsia="hr-HR"/>
        </w:rPr>
        <w:t>m tekstu: Akcijski plan za 2019. godinu</w:t>
      </w:r>
      <w:r w:rsidRPr="00CB2D23">
        <w:rPr>
          <w:rFonts w:ascii="Arial Narrow" w:eastAsia="Times New Roman" w:hAnsi="Arial Narrow" w:cs="Times New Roman"/>
          <w:color w:val="666666"/>
          <w:lang w:eastAsia="hr-HR"/>
        </w:rPr>
        <w:t xml:space="preserve">) </w:t>
      </w:r>
      <w:r>
        <w:rPr>
          <w:rFonts w:ascii="Arial Narrow" w:eastAsia="Times New Roman" w:hAnsi="Arial Narrow" w:cs="Times New Roman"/>
          <w:color w:val="666666"/>
          <w:lang w:eastAsia="hr-HR"/>
        </w:rPr>
        <w:t xml:space="preserve">koji se </w:t>
      </w:r>
      <w:r w:rsidRPr="00CB2D23">
        <w:rPr>
          <w:rFonts w:ascii="Arial Narrow" w:eastAsia="Times New Roman" w:hAnsi="Arial Narrow" w:cs="Times New Roman"/>
          <w:color w:val="666666"/>
          <w:lang w:eastAsia="hr-HR"/>
        </w:rPr>
        <w:t>izra</w:t>
      </w:r>
      <w:r>
        <w:rPr>
          <w:rFonts w:ascii="Arial Narrow" w:eastAsia="Times New Roman" w:hAnsi="Arial Narrow" w:cs="Times New Roman"/>
          <w:color w:val="666666"/>
          <w:lang w:eastAsia="hr-HR"/>
        </w:rPr>
        <w:t xml:space="preserve">đuje  </w:t>
      </w:r>
      <w:r w:rsidRPr="00CB2D23">
        <w:rPr>
          <w:rFonts w:ascii="Arial Narrow" w:eastAsia="Times New Roman" w:hAnsi="Arial Narrow" w:cs="Times New Roman"/>
          <w:color w:val="666666"/>
          <w:lang w:eastAsia="hr-HR"/>
        </w:rPr>
        <w:t>s ciljem provođenja aktivnosti i mjera usmjerenih financijskom obrazovanju po</w:t>
      </w:r>
      <w:r>
        <w:rPr>
          <w:rFonts w:ascii="Arial Narrow" w:eastAsia="Times New Roman" w:hAnsi="Arial Narrow" w:cs="Times New Roman"/>
          <w:color w:val="666666"/>
          <w:lang w:eastAsia="hr-HR"/>
        </w:rPr>
        <w:t xml:space="preserve">trošača. Predmetnim planom </w:t>
      </w:r>
      <w:r w:rsidRPr="00CB2D23">
        <w:rPr>
          <w:rFonts w:ascii="Arial Narrow" w:eastAsia="Times New Roman" w:hAnsi="Arial Narrow" w:cs="Times New Roman"/>
          <w:color w:val="666666"/>
          <w:lang w:eastAsia="hr-HR"/>
        </w:rPr>
        <w:t>definirane su mjere i aktivnosti svih dionika, rok za provedbu mjera, pokazatelji uspješnosti te izvori financiranja. Nacionalni strateški okvir financijske pismenosti potrošača kao i Akcijski plan za unaprjeđenje financijske pismenosti potrošača za svaku narednu godinu usmjereni su na poticanje svih dionika financijskog obrazovanja na zajedničko djelovanje prema razumijevanju zajedničkog cilja i p</w:t>
      </w:r>
      <w:r>
        <w:rPr>
          <w:rFonts w:ascii="Arial Narrow" w:eastAsia="Times New Roman" w:hAnsi="Arial Narrow" w:cs="Times New Roman"/>
          <w:color w:val="666666"/>
          <w:lang w:eastAsia="hr-HR"/>
        </w:rPr>
        <w:t xml:space="preserve">redanosti za njegovo postizanje a </w:t>
      </w:r>
      <w:r w:rsidRPr="00E776D3">
        <w:rPr>
          <w:rFonts w:ascii="Arial Narrow" w:eastAsia="Times New Roman" w:hAnsi="Arial Narrow" w:cs="Times New Roman"/>
          <w:color w:val="666666"/>
          <w:lang w:eastAsia="hr-HR"/>
        </w:rPr>
        <w:t>kako bi se svim građanima Republike Hrvatske osigurala prilika ostvarivanja određene koristi od financijskog obrazovanja.</w:t>
      </w:r>
    </w:p>
    <w:p w14:paraId="6D840F17" w14:textId="77777777" w:rsidR="00BC4F73" w:rsidRPr="00CB2D23" w:rsidRDefault="00BC4F73" w:rsidP="00BC4F73">
      <w:pPr>
        <w:spacing w:after="0" w:line="336" w:lineRule="atLeast"/>
        <w:jc w:val="both"/>
        <w:rPr>
          <w:rFonts w:ascii="Arial Narrow" w:eastAsia="Times New Roman" w:hAnsi="Arial Narrow" w:cs="Times New Roman"/>
          <w:color w:val="666666"/>
          <w:lang w:eastAsia="hr-HR"/>
        </w:rPr>
      </w:pPr>
      <w:r w:rsidRPr="00CB2D23">
        <w:rPr>
          <w:rFonts w:ascii="Arial Narrow" w:eastAsia="Times New Roman" w:hAnsi="Arial Narrow" w:cs="Times New Roman"/>
          <w:color w:val="666666"/>
          <w:lang w:eastAsia="hr-HR"/>
        </w:rPr>
        <w:t>Sredstva za provedbu akti</w:t>
      </w:r>
      <w:r>
        <w:rPr>
          <w:rFonts w:ascii="Arial Narrow" w:eastAsia="Times New Roman" w:hAnsi="Arial Narrow" w:cs="Times New Roman"/>
          <w:color w:val="666666"/>
          <w:lang w:eastAsia="hr-HR"/>
        </w:rPr>
        <w:t xml:space="preserve">vnosti Akcijskog plana za 2019. </w:t>
      </w:r>
      <w:r w:rsidRPr="00CB2D23">
        <w:rPr>
          <w:rFonts w:ascii="Arial Narrow" w:eastAsia="Times New Roman" w:hAnsi="Arial Narrow" w:cs="Times New Roman"/>
          <w:color w:val="666666"/>
          <w:lang w:eastAsia="hr-HR"/>
        </w:rPr>
        <w:t>godinu osigurana su u Državnom proračunu Republike Hrvatske</w:t>
      </w:r>
      <w:r w:rsidR="00E71DB7">
        <w:rPr>
          <w:rFonts w:ascii="Arial Narrow" w:eastAsia="Times New Roman" w:hAnsi="Arial Narrow" w:cs="Times New Roman"/>
          <w:color w:val="666666"/>
          <w:lang w:eastAsia="hr-HR"/>
        </w:rPr>
        <w:t xml:space="preserve"> za 2019. godinu i projekcijama za 2020. i 2021. godinu (Narodne novine, broj 113/18) unutar financijskog plana Ministarstva financija, na aktivnosti A538000 Administracija i upravljanje u iznosu od 50.000,</w:t>
      </w:r>
      <w:r w:rsidR="00413D5B">
        <w:rPr>
          <w:rFonts w:ascii="Arial Narrow" w:eastAsia="Times New Roman" w:hAnsi="Arial Narrow" w:cs="Times New Roman"/>
          <w:color w:val="666666"/>
          <w:lang w:eastAsia="hr-HR"/>
        </w:rPr>
        <w:t>00</w:t>
      </w:r>
      <w:r w:rsidR="00E71DB7">
        <w:rPr>
          <w:rFonts w:ascii="Arial Narrow" w:eastAsia="Times New Roman" w:hAnsi="Arial Narrow" w:cs="Times New Roman"/>
          <w:color w:val="666666"/>
          <w:lang w:eastAsia="hr-HR"/>
        </w:rPr>
        <w:t xml:space="preserve"> kuna godišnje te unutar financijskog plana Ministarstva gospodarstva, poduze</w:t>
      </w:r>
      <w:r w:rsidR="00BF625D">
        <w:rPr>
          <w:rFonts w:ascii="Arial Narrow" w:eastAsia="Times New Roman" w:hAnsi="Arial Narrow" w:cs="Times New Roman"/>
          <w:color w:val="666666"/>
          <w:lang w:eastAsia="hr-HR"/>
        </w:rPr>
        <w:t>tništva i obrta, na aktivnosti</w:t>
      </w:r>
      <w:r w:rsidR="009A5226">
        <w:rPr>
          <w:rFonts w:ascii="Arial Narrow" w:eastAsia="Times New Roman" w:hAnsi="Arial Narrow" w:cs="Times New Roman"/>
          <w:color w:val="666666"/>
          <w:lang w:eastAsia="hr-HR"/>
        </w:rPr>
        <w:t xml:space="preserve"> A560054 – Zaštita prava potrošača u iznosu od 1.835.162,00 kuna</w:t>
      </w:r>
      <w:r w:rsidR="00413D5B">
        <w:rPr>
          <w:rFonts w:ascii="Arial Narrow" w:eastAsia="Times New Roman" w:hAnsi="Arial Narrow" w:cs="Times New Roman"/>
          <w:color w:val="666666"/>
          <w:lang w:eastAsia="hr-HR"/>
        </w:rPr>
        <w:t>, a koja između ostalog uključuju i provedbu aktivnosti iz ovog Akcijskog plana</w:t>
      </w:r>
      <w:r w:rsidRPr="00CB2D23">
        <w:rPr>
          <w:rFonts w:ascii="Arial Narrow" w:eastAsia="Times New Roman" w:hAnsi="Arial Narrow" w:cs="Times New Roman"/>
          <w:color w:val="666666"/>
          <w:lang w:eastAsia="hr-HR"/>
        </w:rPr>
        <w:t>. Ministarstvo</w:t>
      </w:r>
      <w:r w:rsidR="00D16C4D">
        <w:rPr>
          <w:rFonts w:ascii="Arial Narrow" w:eastAsia="Times New Roman" w:hAnsi="Arial Narrow" w:cs="Times New Roman"/>
          <w:color w:val="666666"/>
          <w:lang w:eastAsia="hr-HR"/>
        </w:rPr>
        <w:t xml:space="preserve"> znanosti i obrazovanja</w:t>
      </w:r>
      <w:r>
        <w:rPr>
          <w:rFonts w:ascii="Arial Narrow" w:eastAsia="Times New Roman" w:hAnsi="Arial Narrow" w:cs="Times New Roman"/>
          <w:color w:val="666666"/>
          <w:lang w:eastAsia="hr-HR"/>
        </w:rPr>
        <w:t xml:space="preserve"> i</w:t>
      </w:r>
      <w:r w:rsidRPr="00CB2D23">
        <w:rPr>
          <w:rFonts w:ascii="Arial Narrow" w:eastAsia="Times New Roman" w:hAnsi="Arial Narrow" w:cs="Times New Roman"/>
          <w:color w:val="666666"/>
          <w:lang w:eastAsia="hr-HR"/>
        </w:rPr>
        <w:t xml:space="preserve"> Agencija za odgoj i obrazovanje </w:t>
      </w:r>
      <w:r w:rsidR="009A5226">
        <w:rPr>
          <w:rFonts w:ascii="Arial Narrow" w:eastAsia="Times New Roman" w:hAnsi="Arial Narrow" w:cs="Times New Roman"/>
          <w:color w:val="666666"/>
          <w:lang w:eastAsia="hr-HR"/>
        </w:rPr>
        <w:t>te Ministarstvo zdravstva koji</w:t>
      </w:r>
      <w:r w:rsidRPr="00CB2D23">
        <w:rPr>
          <w:rFonts w:ascii="Arial Narrow" w:eastAsia="Times New Roman" w:hAnsi="Arial Narrow" w:cs="Times New Roman"/>
          <w:color w:val="666666"/>
          <w:lang w:eastAsia="hr-HR"/>
        </w:rPr>
        <w:t xml:space="preserve"> sudjeluju u provedbi akti</w:t>
      </w:r>
      <w:r>
        <w:rPr>
          <w:rFonts w:ascii="Arial Narrow" w:eastAsia="Times New Roman" w:hAnsi="Arial Narrow" w:cs="Times New Roman"/>
          <w:color w:val="666666"/>
          <w:lang w:eastAsia="hr-HR"/>
        </w:rPr>
        <w:t xml:space="preserve">vnosti Akcijskog plana za  2019. godinu </w:t>
      </w:r>
      <w:r w:rsidRPr="00CB2D23">
        <w:rPr>
          <w:rFonts w:ascii="Arial Narrow" w:eastAsia="Times New Roman" w:hAnsi="Arial Narrow" w:cs="Times New Roman"/>
          <w:color w:val="666666"/>
          <w:lang w:eastAsia="hr-HR"/>
        </w:rPr>
        <w:t>ima</w:t>
      </w:r>
      <w:r>
        <w:rPr>
          <w:rFonts w:ascii="Arial Narrow" w:eastAsia="Times New Roman" w:hAnsi="Arial Narrow" w:cs="Times New Roman"/>
          <w:color w:val="666666"/>
          <w:lang w:eastAsia="hr-HR"/>
        </w:rPr>
        <w:t>ju</w:t>
      </w:r>
      <w:r w:rsidRPr="00CB2D23">
        <w:rPr>
          <w:rFonts w:ascii="Arial Narrow" w:eastAsia="Times New Roman" w:hAnsi="Arial Narrow" w:cs="Times New Roman"/>
          <w:color w:val="666666"/>
          <w:lang w:eastAsia="hr-HR"/>
        </w:rPr>
        <w:t xml:space="preserve"> osigurana sredstva u okviru svojih redovnih aktivnosti. Ostala tijela osiguravaju vlastita sredstva za provedbu mjera i aktivnosti u svrhu financijskog opismenjavanja potrošača.</w:t>
      </w:r>
    </w:p>
    <w:p w14:paraId="6D840F18" w14:textId="77777777" w:rsidR="00BC4F73" w:rsidRPr="00CB2D23" w:rsidRDefault="00BC4F73" w:rsidP="00BC4F73">
      <w:pPr>
        <w:spacing w:after="0" w:line="336" w:lineRule="atLeast"/>
        <w:jc w:val="both"/>
        <w:rPr>
          <w:rFonts w:ascii="Arial Narrow" w:eastAsia="Times New Roman" w:hAnsi="Arial Narrow" w:cs="Times New Roman"/>
          <w:color w:val="666666"/>
          <w:lang w:eastAsia="hr-HR"/>
        </w:rPr>
      </w:pPr>
      <w:r w:rsidRPr="00CB2D23">
        <w:rPr>
          <w:rFonts w:ascii="Arial Narrow" w:eastAsia="Times New Roman" w:hAnsi="Arial Narrow" w:cs="Times New Roman"/>
          <w:color w:val="666666"/>
          <w:lang w:eastAsia="hr-HR"/>
        </w:rPr>
        <w:t>Svi dionici pr</w:t>
      </w:r>
      <w:r>
        <w:rPr>
          <w:rFonts w:ascii="Arial Narrow" w:eastAsia="Times New Roman" w:hAnsi="Arial Narrow" w:cs="Times New Roman"/>
          <w:color w:val="666666"/>
          <w:lang w:eastAsia="hr-HR"/>
        </w:rPr>
        <w:t>ovedbe Akcijskog plana za 2019. godinu izvijestit će</w:t>
      </w:r>
      <w:r w:rsidRPr="00CB2D23">
        <w:rPr>
          <w:rFonts w:ascii="Arial Narrow" w:eastAsia="Times New Roman" w:hAnsi="Arial Narrow" w:cs="Times New Roman"/>
          <w:color w:val="666666"/>
          <w:lang w:eastAsia="hr-HR"/>
        </w:rPr>
        <w:t xml:space="preserve"> Ministarstvo financija o provedenim aktivnostima za proteklo izvještajno razdoblje kao i o projekcijama aktivnosti za naredno izvještajno razdoblje.</w:t>
      </w:r>
    </w:p>
    <w:p w14:paraId="6D840F19" w14:textId="77777777" w:rsidR="00BC4F73" w:rsidRDefault="00BC4F73" w:rsidP="00BC4F73">
      <w:pPr>
        <w:spacing w:after="0" w:line="336" w:lineRule="atLeast"/>
        <w:jc w:val="both"/>
        <w:rPr>
          <w:rFonts w:ascii="Arial Narrow" w:eastAsia="Times New Roman" w:hAnsi="Arial Narrow" w:cs="Times New Roman"/>
          <w:color w:val="666666"/>
          <w:lang w:eastAsia="hr-HR"/>
        </w:rPr>
      </w:pPr>
      <w:r w:rsidRPr="00CB2D23">
        <w:rPr>
          <w:rFonts w:ascii="Arial Narrow" w:eastAsia="Times New Roman" w:hAnsi="Arial Narrow" w:cs="Times New Roman"/>
          <w:color w:val="666666"/>
          <w:lang w:eastAsia="hr-HR"/>
        </w:rPr>
        <w:t xml:space="preserve">Učinkovita provedba Nacionalnog strateškog okvira financijske pismenosti potrošača podrazumijeva različite mjere i aktivnosti usmjerene k unaprjeđenju financijske pismenosti potrošača te je stoga Ministarstvo financija početkom 2015. godine osnovalo Operativnu radnu grupu za praćenje provedbe mjera i aktivnosti (u daljnjem tekstu: Operativna </w:t>
      </w:r>
      <w:r>
        <w:rPr>
          <w:rFonts w:ascii="Arial Narrow" w:eastAsia="Times New Roman" w:hAnsi="Arial Narrow" w:cs="Times New Roman"/>
          <w:color w:val="666666"/>
          <w:lang w:eastAsia="hr-HR"/>
        </w:rPr>
        <w:t>radna grupa). Na sastancima koji se održavaju nekoliko puta godišnje</w:t>
      </w:r>
      <w:r w:rsidRPr="00CB2D23">
        <w:rPr>
          <w:rFonts w:ascii="Arial Narrow" w:eastAsia="Times New Roman" w:hAnsi="Arial Narrow" w:cs="Times New Roman"/>
          <w:color w:val="666666"/>
          <w:lang w:eastAsia="hr-HR"/>
        </w:rPr>
        <w:t xml:space="preserve"> raspravlja</w:t>
      </w:r>
      <w:r>
        <w:rPr>
          <w:rFonts w:ascii="Arial Narrow" w:eastAsia="Times New Roman" w:hAnsi="Arial Narrow" w:cs="Times New Roman"/>
          <w:color w:val="666666"/>
          <w:lang w:eastAsia="hr-HR"/>
        </w:rPr>
        <w:t xml:space="preserve"> se</w:t>
      </w:r>
      <w:r w:rsidRPr="00CB2D23">
        <w:rPr>
          <w:rFonts w:ascii="Arial Narrow" w:eastAsia="Times New Roman" w:hAnsi="Arial Narrow" w:cs="Times New Roman"/>
          <w:color w:val="666666"/>
          <w:lang w:eastAsia="hr-HR"/>
        </w:rPr>
        <w:t xml:space="preserve"> o provedbenim aktivnostima te ostalim pitanjima relevantnim za financijsku pismenost. </w:t>
      </w:r>
    </w:p>
    <w:p w14:paraId="6D840F1A" w14:textId="77777777" w:rsidR="00BC4F73" w:rsidRPr="00CB2D23" w:rsidRDefault="00BC4F73" w:rsidP="00BC4F73">
      <w:pPr>
        <w:spacing w:after="0" w:line="336" w:lineRule="atLeast"/>
        <w:jc w:val="both"/>
        <w:rPr>
          <w:rFonts w:ascii="Arial Narrow" w:eastAsia="Times New Roman" w:hAnsi="Arial Narrow" w:cs="Times New Roman"/>
          <w:color w:val="666666"/>
          <w:lang w:eastAsia="hr-HR"/>
        </w:rPr>
      </w:pPr>
      <w:r w:rsidRPr="00CB2D23">
        <w:rPr>
          <w:rFonts w:ascii="Arial Narrow" w:eastAsia="Times New Roman" w:hAnsi="Arial Narrow" w:cs="Times New Roman"/>
          <w:color w:val="666666"/>
          <w:lang w:eastAsia="hr-HR"/>
        </w:rPr>
        <w:t>Zavisno od aktivnosti, u rad Operativne radne grupe mogu se uključiti i predstavnici drugih institucija relevantnih za unaprjeđenje financijske pismenosti potrošača. Svi dionici u provedbi Akcijskog plana obvezuju se na kvalitetnu međusobnu suradnju, radi stvaranja uvjeta u okviru svoje nadležnosti i djelokruga rada te u skladu sa svojim djelatnostima, za osnaživanje okruženja i administrativne učinkovitosti u poticanju unaprjeđenja financijske pismenosti potrošača.</w:t>
      </w:r>
    </w:p>
    <w:p w14:paraId="6D840F1B" w14:textId="77777777" w:rsidR="00BC4F73" w:rsidRPr="00CB2D23" w:rsidRDefault="00BC4F73" w:rsidP="00BC4F73">
      <w:pPr>
        <w:spacing w:after="0" w:line="336" w:lineRule="atLeast"/>
        <w:jc w:val="both"/>
        <w:rPr>
          <w:rFonts w:ascii="Arial Narrow" w:eastAsia="Times New Roman" w:hAnsi="Arial Narrow" w:cs="Times New Roman"/>
          <w:color w:val="666666"/>
          <w:lang w:eastAsia="hr-HR"/>
        </w:rPr>
      </w:pPr>
      <w:r>
        <w:rPr>
          <w:rFonts w:ascii="Arial Narrow" w:eastAsia="Times New Roman" w:hAnsi="Arial Narrow" w:cs="Times New Roman"/>
          <w:color w:val="666666"/>
          <w:lang w:eastAsia="hr-HR"/>
        </w:rPr>
        <w:t>Akcijski plan za 2019. godinu</w:t>
      </w:r>
      <w:r w:rsidRPr="00CB2D23">
        <w:rPr>
          <w:rFonts w:ascii="Arial Narrow" w:eastAsia="Times New Roman" w:hAnsi="Arial Narrow" w:cs="Times New Roman"/>
          <w:color w:val="666666"/>
          <w:lang w:eastAsia="hr-HR"/>
        </w:rPr>
        <w:t xml:space="preserve"> izrađen je kao »živi dokument« podložan prilagodbama i eventualnim budućim promjenama. Također, p</w:t>
      </w:r>
      <w:r>
        <w:rPr>
          <w:rFonts w:ascii="Arial Narrow" w:eastAsia="Times New Roman" w:hAnsi="Arial Narrow" w:cs="Times New Roman"/>
          <w:color w:val="666666"/>
          <w:lang w:eastAsia="hr-HR"/>
        </w:rPr>
        <w:t>raćenje Akcijskog plana za 2019. godinu</w:t>
      </w:r>
      <w:r w:rsidRPr="00CB2D23">
        <w:rPr>
          <w:rFonts w:ascii="Arial Narrow" w:eastAsia="Times New Roman" w:hAnsi="Arial Narrow" w:cs="Times New Roman"/>
          <w:color w:val="666666"/>
          <w:lang w:eastAsia="hr-HR"/>
        </w:rPr>
        <w:t xml:space="preserve"> omogućit će Ministarstvu financija i nositeljima provedbe, identifikaciju onoga što je uspješno u provođenju financijske pismenosti, identifikaciju ciljnih skupina koje imaju koristi od financijske pismenosti, stjecanje saznanja o tome koji su dodatni izvori potrebni te identifikaciju potencijalnih propusta i aktivnosti za njihovo otklanjanje.</w:t>
      </w:r>
    </w:p>
    <w:p w14:paraId="6D840F1C" w14:textId="77777777" w:rsidR="00BC4F73" w:rsidRPr="00CB2D23" w:rsidRDefault="00BC4F73" w:rsidP="00BC4F73">
      <w:pPr>
        <w:spacing w:after="0" w:line="336" w:lineRule="atLeast"/>
        <w:jc w:val="both"/>
        <w:rPr>
          <w:rFonts w:ascii="Arial Narrow" w:eastAsia="Times New Roman" w:hAnsi="Arial Narrow" w:cs="Times New Roman"/>
          <w:color w:val="666666"/>
          <w:lang w:eastAsia="hr-HR"/>
        </w:rPr>
      </w:pPr>
    </w:p>
    <w:p w14:paraId="6D840F1D" w14:textId="77777777" w:rsidR="00BC4F73" w:rsidRPr="00CB2D23" w:rsidRDefault="00BC4F73" w:rsidP="00BC4F73">
      <w:pPr>
        <w:spacing w:after="0" w:line="336" w:lineRule="atLeast"/>
        <w:jc w:val="center"/>
        <w:rPr>
          <w:rFonts w:ascii="Arial Narrow" w:eastAsia="Times New Roman" w:hAnsi="Arial Narrow" w:cs="Times New Roman"/>
          <w:color w:val="666666"/>
          <w:lang w:eastAsia="hr-HR"/>
        </w:rPr>
      </w:pPr>
      <w:r w:rsidRPr="00CB2D23">
        <w:rPr>
          <w:rFonts w:ascii="Arial Narrow" w:eastAsia="Times New Roman" w:hAnsi="Arial Narrow" w:cs="Times New Roman"/>
          <w:color w:val="666666"/>
          <w:lang w:eastAsia="hr-HR"/>
        </w:rPr>
        <w:t>SADRŽAJ AKCIJSKOG PLANA</w:t>
      </w:r>
    </w:p>
    <w:p w14:paraId="6D840F1E" w14:textId="77777777" w:rsidR="00BC4F73" w:rsidRPr="00CB2D23" w:rsidRDefault="00BC4F73" w:rsidP="00BC4F73">
      <w:pPr>
        <w:spacing w:after="0" w:line="336" w:lineRule="atLeast"/>
        <w:jc w:val="both"/>
        <w:rPr>
          <w:rFonts w:ascii="Arial Narrow" w:eastAsia="Times New Roman" w:hAnsi="Arial Narrow" w:cs="Times New Roman"/>
          <w:color w:val="666666"/>
          <w:lang w:eastAsia="hr-HR"/>
        </w:rPr>
      </w:pPr>
      <w:r>
        <w:rPr>
          <w:rFonts w:ascii="Arial Narrow" w:eastAsia="Times New Roman" w:hAnsi="Arial Narrow" w:cs="Times New Roman"/>
          <w:color w:val="666666"/>
          <w:lang w:eastAsia="hr-HR"/>
        </w:rPr>
        <w:t xml:space="preserve">Akcijski plan za 2019. godinu </w:t>
      </w:r>
      <w:r w:rsidRPr="00CB2D23">
        <w:rPr>
          <w:rFonts w:ascii="Arial Narrow" w:eastAsia="Times New Roman" w:hAnsi="Arial Narrow" w:cs="Times New Roman"/>
          <w:color w:val="666666"/>
          <w:lang w:eastAsia="hr-HR"/>
        </w:rPr>
        <w:t>sadrži prikaz identificiranih mjera i aktivnosti u podizanju razine financijske pismenosti građana Republike Hrvatske. Mjere su definirane prema nositeljima, odnosno dionicima u provođenju financijskog obrazovanja definiranim Nacionalnim strateškim okvirom financijske pismenosti potrošača. Uz mjere, navedene su i aktivnosti svih dionika, rok unutar kojeg će se one provoditi, izvori financiranja te pokazatelji uspješnosti.</w:t>
      </w:r>
    </w:p>
    <w:p w14:paraId="6D840F1F" w14:textId="77777777" w:rsidR="00BC4F73" w:rsidRPr="00CB2D23" w:rsidRDefault="00BC4F73" w:rsidP="00BC4F73">
      <w:pPr>
        <w:spacing w:after="0" w:line="336" w:lineRule="atLeast"/>
        <w:jc w:val="center"/>
        <w:rPr>
          <w:rFonts w:ascii="Arial Narrow" w:eastAsia="Times New Roman" w:hAnsi="Arial Narrow" w:cs="Times New Roman"/>
          <w:color w:val="666666"/>
          <w:lang w:eastAsia="hr-HR"/>
        </w:rPr>
      </w:pPr>
    </w:p>
    <w:tbl>
      <w:tblPr>
        <w:tblW w:w="44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"/>
        <w:gridCol w:w="2026"/>
        <w:gridCol w:w="2309"/>
        <w:gridCol w:w="2950"/>
        <w:gridCol w:w="1199"/>
        <w:gridCol w:w="1524"/>
        <w:gridCol w:w="2082"/>
      </w:tblGrid>
      <w:tr w:rsidR="0099019C" w:rsidRPr="008D5D1B" w14:paraId="6D840F27" w14:textId="77777777" w:rsidTr="0099019C">
        <w:trPr>
          <w:tblHeader/>
          <w:jc w:val="center"/>
        </w:trPr>
        <w:tc>
          <w:tcPr>
            <w:tcW w:w="209" w:type="pct"/>
            <w:shd w:val="clear" w:color="auto" w:fill="D9D9D9" w:themeFill="background1" w:themeFillShade="D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0F20" w14:textId="77777777" w:rsidR="0099019C" w:rsidRPr="008D5D1B" w:rsidRDefault="0099019C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b/>
                <w:bCs/>
                <w:color w:val="666666"/>
                <w:sz w:val="20"/>
                <w:szCs w:val="20"/>
                <w:lang w:eastAsia="hr-HR"/>
              </w:rPr>
              <w:t>RED. BR.</w:t>
            </w:r>
          </w:p>
        </w:tc>
        <w:tc>
          <w:tcPr>
            <w:tcW w:w="803" w:type="pct"/>
            <w:shd w:val="clear" w:color="auto" w:fill="D9D9D9" w:themeFill="background1" w:themeFillShade="D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0F21" w14:textId="77777777" w:rsidR="0099019C" w:rsidRPr="008D5D1B" w:rsidRDefault="0099019C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b/>
                <w:bCs/>
                <w:color w:val="666666"/>
                <w:sz w:val="20"/>
                <w:szCs w:val="20"/>
                <w:lang w:eastAsia="hr-HR"/>
              </w:rPr>
              <w:t>MJERA</w:t>
            </w:r>
          </w:p>
        </w:tc>
        <w:tc>
          <w:tcPr>
            <w:tcW w:w="915" w:type="pct"/>
            <w:shd w:val="clear" w:color="auto" w:fill="D9D9D9" w:themeFill="background1" w:themeFillShade="D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0F22" w14:textId="77777777" w:rsidR="0099019C" w:rsidRPr="008D5D1B" w:rsidRDefault="0099019C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b/>
                <w:bCs/>
                <w:color w:val="666666"/>
                <w:sz w:val="20"/>
                <w:szCs w:val="20"/>
                <w:lang w:eastAsia="hr-HR"/>
              </w:rPr>
              <w:t>AKTIVNOST</w:t>
            </w:r>
          </w:p>
        </w:tc>
        <w:tc>
          <w:tcPr>
            <w:tcW w:w="1169" w:type="pct"/>
            <w:shd w:val="clear" w:color="auto" w:fill="D9D9D9" w:themeFill="background1" w:themeFillShade="D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0F23" w14:textId="77777777" w:rsidR="0099019C" w:rsidRPr="008D5D1B" w:rsidRDefault="0099019C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b/>
                <w:bCs/>
                <w:color w:val="666666"/>
                <w:sz w:val="20"/>
                <w:szCs w:val="20"/>
                <w:lang w:eastAsia="hr-HR"/>
              </w:rPr>
              <w:t>NOSITELJ/SUNOSITELJ</w:t>
            </w:r>
          </w:p>
        </w:tc>
        <w:tc>
          <w:tcPr>
            <w:tcW w:w="475" w:type="pct"/>
            <w:shd w:val="clear" w:color="auto" w:fill="D9D9D9" w:themeFill="background1" w:themeFillShade="D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0F24" w14:textId="77777777" w:rsidR="0099019C" w:rsidRPr="008D5D1B" w:rsidRDefault="0099019C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b/>
                <w:bCs/>
                <w:color w:val="666666"/>
                <w:sz w:val="20"/>
                <w:szCs w:val="20"/>
                <w:lang w:eastAsia="hr-HR"/>
              </w:rPr>
              <w:t>ROK PROVEDBE</w:t>
            </w:r>
            <w:r w:rsidRPr="008D5D1B">
              <w:rPr>
                <w:rFonts w:ascii="Arial Narrow" w:eastAsia="Times New Roman" w:hAnsi="Arial Narrow" w:cs="Times New Roman"/>
                <w:b/>
                <w:bCs/>
                <w:color w:val="666666"/>
                <w:sz w:val="20"/>
                <w:szCs w:val="20"/>
                <w:lang w:eastAsia="hr-HR"/>
              </w:rPr>
              <w:br/>
              <w:t>(kvartal/</w:t>
            </w:r>
            <w:r w:rsidRPr="008D5D1B">
              <w:rPr>
                <w:rFonts w:ascii="Arial Narrow" w:eastAsia="Times New Roman" w:hAnsi="Arial Narrow" w:cs="Times New Roman"/>
                <w:b/>
                <w:bCs/>
                <w:color w:val="666666"/>
                <w:sz w:val="20"/>
                <w:szCs w:val="20"/>
                <w:lang w:eastAsia="hr-HR"/>
              </w:rPr>
              <w:br/>
              <w:t>kontinuirano)</w:t>
            </w:r>
          </w:p>
        </w:tc>
        <w:tc>
          <w:tcPr>
            <w:tcW w:w="604" w:type="pct"/>
            <w:shd w:val="clear" w:color="auto" w:fill="D9D9D9" w:themeFill="background1" w:themeFillShade="D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0F25" w14:textId="77777777" w:rsidR="0099019C" w:rsidRPr="008D5D1B" w:rsidRDefault="0099019C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b/>
                <w:bCs/>
                <w:color w:val="666666"/>
                <w:sz w:val="20"/>
                <w:szCs w:val="20"/>
                <w:lang w:eastAsia="hr-HR"/>
              </w:rPr>
              <w:t>IZVORI FINANCIRANJA</w:t>
            </w:r>
          </w:p>
        </w:tc>
        <w:tc>
          <w:tcPr>
            <w:tcW w:w="825" w:type="pct"/>
            <w:shd w:val="clear" w:color="auto" w:fill="D9D9D9" w:themeFill="background1" w:themeFillShade="D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0F26" w14:textId="77777777" w:rsidR="0099019C" w:rsidRPr="008D5D1B" w:rsidRDefault="0099019C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b/>
                <w:bCs/>
                <w:color w:val="666666"/>
                <w:sz w:val="20"/>
                <w:szCs w:val="20"/>
                <w:lang w:eastAsia="hr-HR"/>
              </w:rPr>
              <w:t>POKAZATELJI USPJEŠNOSTI</w:t>
            </w:r>
          </w:p>
        </w:tc>
      </w:tr>
      <w:tr w:rsidR="0099019C" w:rsidRPr="008D5D1B" w14:paraId="6D840F36" w14:textId="77777777" w:rsidTr="0099019C">
        <w:trPr>
          <w:jc w:val="center"/>
        </w:trPr>
        <w:tc>
          <w:tcPr>
            <w:tcW w:w="209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0F28" w14:textId="77777777" w:rsidR="0099019C" w:rsidRPr="008D5D1B" w:rsidRDefault="0099019C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803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0F29" w14:textId="77777777" w:rsidR="0099019C" w:rsidRPr="008D5D1B" w:rsidRDefault="0099019C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Komunikacija s potrošačima</w:t>
            </w:r>
          </w:p>
        </w:tc>
        <w:tc>
          <w:tcPr>
            <w:tcW w:w="91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0F2A" w14:textId="77777777" w:rsidR="0099019C" w:rsidRPr="008D5D1B" w:rsidRDefault="0099019C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Redovita komunikacija s potrošačima radi savjetovanja po upitima.</w:t>
            </w:r>
          </w:p>
        </w:tc>
        <w:tc>
          <w:tcPr>
            <w:tcW w:w="1169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0F2B" w14:textId="77777777" w:rsidR="0099019C" w:rsidRPr="008D5D1B" w:rsidRDefault="0099019C" w:rsidP="002E6603">
            <w:pPr>
              <w:spacing w:after="0" w:line="336" w:lineRule="atLeast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MFIN</w:t>
            </w:r>
          </w:p>
          <w:p w14:paraId="6D840F2C" w14:textId="77777777" w:rsidR="0099019C" w:rsidRPr="008D5D1B" w:rsidRDefault="0099019C" w:rsidP="002E6603">
            <w:pPr>
              <w:spacing w:after="0" w:line="336" w:lineRule="atLeast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MINGPO</w:t>
            </w:r>
          </w:p>
          <w:p w14:paraId="6D840F2D" w14:textId="77777777" w:rsidR="0099019C" w:rsidRPr="008D5D1B" w:rsidRDefault="0099019C" w:rsidP="002E6603">
            <w:pPr>
              <w:spacing w:after="0" w:line="336" w:lineRule="atLeast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HANFA</w:t>
            </w:r>
          </w:p>
          <w:p w14:paraId="6D840F2E" w14:textId="77777777" w:rsidR="0099019C" w:rsidRPr="008D5D1B" w:rsidRDefault="0099019C" w:rsidP="002E6603">
            <w:pPr>
              <w:spacing w:after="0" w:line="336" w:lineRule="atLeast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HNB</w:t>
            </w:r>
          </w:p>
          <w:p w14:paraId="6D840F2F" w14:textId="77777777" w:rsidR="0099019C" w:rsidRPr="008D5D1B" w:rsidRDefault="0099019C" w:rsidP="002E6603">
            <w:pPr>
              <w:spacing w:after="0" w:line="336" w:lineRule="atLeast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HUO</w:t>
            </w:r>
          </w:p>
          <w:p w14:paraId="6D840F30" w14:textId="77777777" w:rsidR="0099019C" w:rsidRPr="008D5D1B" w:rsidRDefault="0099019C" w:rsidP="002E6603">
            <w:pPr>
              <w:spacing w:after="0" w:line="336" w:lineRule="atLeast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HGK</w:t>
            </w:r>
          </w:p>
          <w:p w14:paraId="6D840F31" w14:textId="77777777" w:rsidR="0099019C" w:rsidRPr="008D5D1B" w:rsidRDefault="0099019C" w:rsidP="002E6603">
            <w:pPr>
              <w:spacing w:after="0" w:line="336" w:lineRule="atLeast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UMFO</w:t>
            </w:r>
          </w:p>
        </w:tc>
        <w:tc>
          <w:tcPr>
            <w:tcW w:w="47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0F32" w14:textId="77777777" w:rsidR="0099019C" w:rsidRPr="008D5D1B" w:rsidRDefault="0099019C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Kontinuirano</w:t>
            </w:r>
          </w:p>
        </w:tc>
        <w:tc>
          <w:tcPr>
            <w:tcW w:w="604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0F33" w14:textId="77777777" w:rsidR="0099019C" w:rsidRPr="008D5D1B" w:rsidRDefault="0099019C" w:rsidP="002E6603">
            <w:pPr>
              <w:spacing w:after="0" w:line="336" w:lineRule="atLeast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MFIN</w:t>
            </w: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 – državni proračun</w:t>
            </w:r>
          </w:p>
          <w:p w14:paraId="6D840F34" w14:textId="77777777" w:rsidR="0099019C" w:rsidRPr="008D5D1B" w:rsidRDefault="0099019C" w:rsidP="002E6603">
            <w:pPr>
              <w:spacing w:after="0" w:line="336" w:lineRule="atLeast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HANFA, HNB, HUO, HGK, UMFO – vlastita sredstva</w:t>
            </w:r>
          </w:p>
        </w:tc>
        <w:tc>
          <w:tcPr>
            <w:tcW w:w="82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0F35" w14:textId="77777777" w:rsidR="0099019C" w:rsidRPr="008D5D1B" w:rsidRDefault="0099019C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Kontinuirana komunikacija s potrošačima u svezi sa zaštitom njihovih ekonomskih interesa.</w:t>
            </w:r>
          </w:p>
        </w:tc>
      </w:tr>
      <w:tr w:rsidR="00B05A72" w:rsidRPr="008D5D1B" w14:paraId="6D841028" w14:textId="77777777" w:rsidTr="0099019C">
        <w:trPr>
          <w:jc w:val="center"/>
        </w:trPr>
        <w:tc>
          <w:tcPr>
            <w:tcW w:w="209" w:type="pct"/>
            <w:vMerge w:val="restar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0F37" w14:textId="77777777" w:rsidR="00B05A72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38" w14:textId="77777777" w:rsidR="00B05A72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39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2.</w:t>
            </w:r>
          </w:p>
          <w:p w14:paraId="6D840F3A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3B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3C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3D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3E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3F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40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41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42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43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44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45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46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47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48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49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4A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4B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4C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4D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4E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4F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50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51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52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53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54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55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56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57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58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59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5A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5B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5C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5D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5E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5F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60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61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62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63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64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65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66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67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68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69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6A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6B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6C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6D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6E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6F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70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71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72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73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74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75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76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77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78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79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7A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7B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7C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7D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7E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7F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80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81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82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83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84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85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86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03" w:type="pct"/>
            <w:vMerge w:val="restar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0F87" w14:textId="77777777" w:rsidR="00B05A72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88" w14:textId="77777777" w:rsidR="00B05A72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89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Sudjelovanje i organizacija seminara, radionica, panela, konferencija, okruglih stolova te stručnih skupova.</w:t>
            </w:r>
          </w:p>
          <w:p w14:paraId="6D840F8A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8B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8C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8D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8E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8F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90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91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92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93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94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95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96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97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98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99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9A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9B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9C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9D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9E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9F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A0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A1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A2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A3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A4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A5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A6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A7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A8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A9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AA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AB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AC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AD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AE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AF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B0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B1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B2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B3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B4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B5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B6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B7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B8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B9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BA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BB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BC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BD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BE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BF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C0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C1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C2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C3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C4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C5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C6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C7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C8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C9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CA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CB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CC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CD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CE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CF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91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0FD0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Održavanje i s</w:t>
            </w: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udjelovanje na tribinama, okruglim stolovima, radionicama, edu</w:t>
            </w: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softHyphen/>
              <w:t xml:space="preserve">kativnim </w:t>
            </w: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 </w:t>
            </w: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skupovima i seminarima.</w:t>
            </w:r>
          </w:p>
        </w:tc>
        <w:tc>
          <w:tcPr>
            <w:tcW w:w="1169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0FD1" w14:textId="77777777" w:rsidR="00B05A72" w:rsidRPr="008D5D1B" w:rsidRDefault="00B05A72" w:rsidP="002E6603">
            <w:pPr>
              <w:spacing w:after="0" w:line="336" w:lineRule="atLeast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MFIN</w:t>
            </w:r>
          </w:p>
          <w:p w14:paraId="6D840FD2" w14:textId="77777777" w:rsidR="00B05A72" w:rsidRPr="008D5D1B" w:rsidRDefault="00B05A72" w:rsidP="002E6603">
            <w:pPr>
              <w:spacing w:after="0" w:line="336" w:lineRule="atLeast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MINGPO</w:t>
            </w:r>
          </w:p>
          <w:p w14:paraId="6D840FD3" w14:textId="77777777" w:rsidR="00B05A72" w:rsidRPr="008D5D1B" w:rsidRDefault="00B05A72" w:rsidP="002E6603">
            <w:pPr>
              <w:spacing w:after="0" w:line="336" w:lineRule="atLeast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MIZ</w:t>
            </w:r>
          </w:p>
          <w:p w14:paraId="6D840FD4" w14:textId="77777777" w:rsidR="00B05A72" w:rsidRPr="008D5D1B" w:rsidRDefault="00B05A72" w:rsidP="002E6603">
            <w:pPr>
              <w:spacing w:after="0" w:line="336" w:lineRule="atLeast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MZO</w:t>
            </w:r>
          </w:p>
          <w:p w14:paraId="6D840FD5" w14:textId="77777777" w:rsidR="00B05A72" w:rsidRPr="008D5D1B" w:rsidRDefault="00B05A72" w:rsidP="002E6603">
            <w:pPr>
              <w:spacing w:after="0" w:line="336" w:lineRule="atLeast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HANFA</w:t>
            </w:r>
          </w:p>
          <w:p w14:paraId="6D840FD6" w14:textId="77777777" w:rsidR="00B05A72" w:rsidRPr="008D5D1B" w:rsidRDefault="00B05A72" w:rsidP="002E6603">
            <w:pPr>
              <w:spacing w:after="0" w:line="336" w:lineRule="atLeast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HNB</w:t>
            </w:r>
          </w:p>
          <w:p w14:paraId="6D840FD7" w14:textId="77777777" w:rsidR="00B05A72" w:rsidRPr="008D5D1B" w:rsidRDefault="00B05A72" w:rsidP="002E6603">
            <w:pPr>
              <w:spacing w:after="0" w:line="336" w:lineRule="atLeast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HUO</w:t>
            </w:r>
          </w:p>
          <w:p w14:paraId="6D840FD8" w14:textId="77777777" w:rsidR="00B05A72" w:rsidRPr="008D5D1B" w:rsidRDefault="00B05A72" w:rsidP="002E6603">
            <w:pPr>
              <w:spacing w:after="0" w:line="336" w:lineRule="atLeast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HUB</w:t>
            </w:r>
          </w:p>
          <w:p w14:paraId="6D840FD9" w14:textId="77777777" w:rsidR="00B05A72" w:rsidRPr="008D5D1B" w:rsidRDefault="00B05A72" w:rsidP="002E6603">
            <w:pPr>
              <w:spacing w:after="0" w:line="336" w:lineRule="atLeast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HUP</w:t>
            </w:r>
          </w:p>
          <w:p w14:paraId="6D840FDA" w14:textId="77777777" w:rsidR="00B05A72" w:rsidRPr="008D5D1B" w:rsidRDefault="00B05A72" w:rsidP="002E6603">
            <w:pPr>
              <w:spacing w:after="0" w:line="336" w:lineRule="atLeast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ZSE</w:t>
            </w:r>
          </w:p>
          <w:p w14:paraId="6D840FDB" w14:textId="77777777" w:rsidR="00B05A72" w:rsidRPr="008D5D1B" w:rsidRDefault="00B05A72" w:rsidP="002E6603">
            <w:pPr>
              <w:spacing w:after="0" w:line="336" w:lineRule="atLeast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HGK</w:t>
            </w:r>
          </w:p>
          <w:p w14:paraId="6D840FDC" w14:textId="77777777" w:rsidR="00B05A72" w:rsidRPr="008D5D1B" w:rsidRDefault="00B05A72" w:rsidP="002E6603">
            <w:pPr>
              <w:spacing w:after="0" w:line="336" w:lineRule="atLeast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UMFO</w:t>
            </w:r>
          </w:p>
          <w:p w14:paraId="6D840FDD" w14:textId="77777777" w:rsidR="00B05A72" w:rsidRPr="008D5D1B" w:rsidRDefault="00B05A72" w:rsidP="002E6603">
            <w:pPr>
              <w:spacing w:after="0" w:line="336" w:lineRule="atLeast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ŠTEDOPIS</w:t>
            </w:r>
          </w:p>
        </w:tc>
        <w:tc>
          <w:tcPr>
            <w:tcW w:w="47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0FDE" w14:textId="77777777" w:rsidR="00B05A72" w:rsidRPr="008D5D1B" w:rsidRDefault="00B05A72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Kontinuirano</w:t>
            </w:r>
          </w:p>
        </w:tc>
        <w:tc>
          <w:tcPr>
            <w:tcW w:w="604" w:type="pct"/>
            <w:vMerge w:val="restar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0FDF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E0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E1" w14:textId="77777777" w:rsidR="00B05A72" w:rsidRPr="008D5D1B" w:rsidRDefault="00D16C4D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MFIN</w:t>
            </w:r>
            <w:r w:rsidR="00C24CD5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, </w:t>
            </w:r>
            <w:r w:rsidR="00F31D43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MINGPO, </w:t>
            </w:r>
            <w:r w:rsidR="00C24CD5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MIZ,</w:t>
            </w:r>
            <w:r w:rsidR="00B05A72"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 MZO, AZOO – državni proračun</w:t>
            </w:r>
          </w:p>
          <w:p w14:paraId="6D840FE2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E3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E4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HANFA, HNB, HUO, HUB, HUP, HGK, ZSE, UMFO, </w:t>
            </w: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SSSH, </w:t>
            </w:r>
            <w:r w:rsidR="004F4D82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EFZG, </w:t>
            </w: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ŠTEDOPIS </w:t>
            </w:r>
            <w:r w:rsidR="00C24CD5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, HIFE</w:t>
            </w: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– vlastita sredstva</w:t>
            </w:r>
          </w:p>
          <w:p w14:paraId="6D840FE5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E6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E7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E8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E9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EA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EB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EC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ED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EE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EF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F0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F1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F2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F3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F4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F5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F6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F7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F8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F9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FA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FB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FC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FD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FE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0FFF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000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001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002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003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004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005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006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007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008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009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00A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00B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00C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00D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00E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00F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010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011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012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013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014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015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016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017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018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019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01A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01B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01C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01D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01E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01F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020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021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022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023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024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025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026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2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027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Broj održanih</w:t>
            </w: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 seminara, radionica, tribina, panel rasprava, okruglih stolova, konferencija te stručnih skupova. Broj sudionika na seminarima, panelima, radionicama, konferencijama, okruglim stolovima te stručnim skupovima. Zaključak dobiven analizom evaluacijskih listića o održanim seminarima, tribinama, panelima, radionicama, konferencijama, okruglim stolovima te stručnim skupovima.</w:t>
            </w:r>
          </w:p>
        </w:tc>
      </w:tr>
      <w:tr w:rsidR="00B05A72" w:rsidRPr="008D5D1B" w14:paraId="6D841043" w14:textId="77777777" w:rsidTr="0099019C">
        <w:trPr>
          <w:jc w:val="center"/>
        </w:trPr>
        <w:tc>
          <w:tcPr>
            <w:tcW w:w="209" w:type="pct"/>
            <w:vMerge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029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03" w:type="pct"/>
            <w:vMerge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02A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91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02B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U organizaciji AZOO-a </w:t>
            </w: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članovi Operativne radne grupe (ovisno o temi) sudjeluju u </w:t>
            </w: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održavanj</w:t>
            </w: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u</w:t>
            </w: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 stručnih seminara za učitelje i nastavnike na temu financijske pismenosti, u okviru kurikuluma Građanskog odgoja i obrazovanja, u suradnji s drugim financijskim ustanovama i organizacijama.</w:t>
            </w:r>
          </w:p>
        </w:tc>
        <w:tc>
          <w:tcPr>
            <w:tcW w:w="1169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02C" w14:textId="77777777" w:rsidR="00747E86" w:rsidRPr="008D5D1B" w:rsidRDefault="00E12859" w:rsidP="00E12859">
            <w:pPr>
              <w:spacing w:after="0" w:line="336" w:lineRule="atLeast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                           </w:t>
            </w:r>
            <w:r w:rsidR="00747E86"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MFIN</w:t>
            </w:r>
          </w:p>
          <w:p w14:paraId="6D84102D" w14:textId="77777777" w:rsidR="00747E86" w:rsidRPr="008D5D1B" w:rsidRDefault="00747E86" w:rsidP="00747E86">
            <w:pPr>
              <w:spacing w:after="0" w:line="336" w:lineRule="atLeast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MINGPO</w:t>
            </w:r>
          </w:p>
          <w:p w14:paraId="6D84102E" w14:textId="77777777" w:rsidR="00747E86" w:rsidRPr="008D5D1B" w:rsidRDefault="00747E86" w:rsidP="00747E86">
            <w:pPr>
              <w:spacing w:after="0" w:line="336" w:lineRule="atLeast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MIZ</w:t>
            </w:r>
          </w:p>
          <w:p w14:paraId="6D84102F" w14:textId="77777777" w:rsidR="00747E86" w:rsidRPr="008D5D1B" w:rsidRDefault="00747E86" w:rsidP="00747E86">
            <w:pPr>
              <w:spacing w:after="0" w:line="336" w:lineRule="atLeast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MZO</w:t>
            </w:r>
          </w:p>
          <w:p w14:paraId="6D841030" w14:textId="77777777" w:rsidR="00747E86" w:rsidRPr="008D5D1B" w:rsidRDefault="00747E86" w:rsidP="00747E86">
            <w:pPr>
              <w:spacing w:after="0" w:line="336" w:lineRule="atLeast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AZOO</w:t>
            </w:r>
          </w:p>
          <w:p w14:paraId="6D841031" w14:textId="77777777" w:rsidR="00747E86" w:rsidRPr="008D5D1B" w:rsidRDefault="00747E86" w:rsidP="00747E86">
            <w:pPr>
              <w:spacing w:after="0" w:line="336" w:lineRule="atLeast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HANFA</w:t>
            </w:r>
          </w:p>
          <w:p w14:paraId="6D841032" w14:textId="77777777" w:rsidR="00747E86" w:rsidRPr="008D5D1B" w:rsidRDefault="00747E86" w:rsidP="00747E86">
            <w:pPr>
              <w:spacing w:after="0" w:line="336" w:lineRule="atLeast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HNB</w:t>
            </w:r>
          </w:p>
          <w:p w14:paraId="6D841033" w14:textId="77777777" w:rsidR="00747E86" w:rsidRPr="008D5D1B" w:rsidRDefault="00747E86" w:rsidP="00747E86">
            <w:pPr>
              <w:spacing w:after="0" w:line="336" w:lineRule="atLeast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HUO</w:t>
            </w:r>
          </w:p>
          <w:p w14:paraId="6D841034" w14:textId="77777777" w:rsidR="00747E86" w:rsidRPr="008D5D1B" w:rsidRDefault="00747E86" w:rsidP="00747E86">
            <w:pPr>
              <w:spacing w:after="0" w:line="336" w:lineRule="atLeast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HGK</w:t>
            </w:r>
          </w:p>
          <w:p w14:paraId="6D841035" w14:textId="77777777" w:rsidR="00747E86" w:rsidRPr="008D5D1B" w:rsidRDefault="00747E86" w:rsidP="00747E86">
            <w:pPr>
              <w:spacing w:after="0" w:line="336" w:lineRule="atLeast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HUB</w:t>
            </w:r>
          </w:p>
          <w:p w14:paraId="6D841036" w14:textId="77777777" w:rsidR="00747E86" w:rsidRPr="008D5D1B" w:rsidRDefault="00747E86" w:rsidP="00747E86">
            <w:pPr>
              <w:spacing w:after="0" w:line="336" w:lineRule="atLeast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ZSE</w:t>
            </w:r>
          </w:p>
          <w:p w14:paraId="6D841037" w14:textId="77777777" w:rsidR="00747E86" w:rsidRPr="008D5D1B" w:rsidRDefault="00747E86" w:rsidP="00747E86">
            <w:pPr>
              <w:spacing w:after="0" w:line="336" w:lineRule="atLeast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HUP</w:t>
            </w:r>
          </w:p>
          <w:p w14:paraId="6D841038" w14:textId="77777777" w:rsidR="00747E86" w:rsidRDefault="00747E86" w:rsidP="00747E86">
            <w:pPr>
              <w:spacing w:after="0" w:line="336" w:lineRule="atLeast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UMFO</w:t>
            </w:r>
          </w:p>
          <w:p w14:paraId="6D841039" w14:textId="77777777" w:rsidR="00747E86" w:rsidRDefault="00747E86" w:rsidP="00747E86">
            <w:pPr>
              <w:spacing w:after="0" w:line="336" w:lineRule="atLeast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EFZG</w:t>
            </w:r>
          </w:p>
          <w:p w14:paraId="6D84103A" w14:textId="77777777" w:rsidR="00747E86" w:rsidRPr="008D5D1B" w:rsidRDefault="00747E86" w:rsidP="00747E86">
            <w:pPr>
              <w:spacing w:after="0" w:line="336" w:lineRule="atLeast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SSSH</w:t>
            </w:r>
          </w:p>
          <w:p w14:paraId="6D84103B" w14:textId="77777777" w:rsidR="00747E86" w:rsidRDefault="00747E86" w:rsidP="00747E86">
            <w:pPr>
              <w:spacing w:after="0" w:line="336" w:lineRule="atLeast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ŠTEDOPIS</w:t>
            </w:r>
          </w:p>
          <w:p w14:paraId="6D84103C" w14:textId="77777777" w:rsidR="00747E86" w:rsidRPr="008D5D1B" w:rsidRDefault="00747E86" w:rsidP="00747E86">
            <w:pPr>
              <w:spacing w:after="0" w:line="336" w:lineRule="atLeast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HIFE</w:t>
            </w:r>
          </w:p>
        </w:tc>
        <w:tc>
          <w:tcPr>
            <w:tcW w:w="475" w:type="pct"/>
            <w:vAlign w:val="center"/>
            <w:hideMark/>
          </w:tcPr>
          <w:p w14:paraId="6D84103D" w14:textId="77777777" w:rsidR="00B05A72" w:rsidRDefault="00B05A72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03E" w14:textId="77777777" w:rsidR="00B05A72" w:rsidRPr="008D5D1B" w:rsidRDefault="00B05A72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Kontinuirano</w:t>
            </w:r>
          </w:p>
        </w:tc>
        <w:tc>
          <w:tcPr>
            <w:tcW w:w="604" w:type="pct"/>
            <w:vMerge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03F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2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040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Održana</w:t>
            </w: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 predavanja na stručnim skupovima za profesore u okviru kurikuluma Građanskog odgoja i obrazovanja.</w:t>
            </w:r>
          </w:p>
          <w:p w14:paraId="6D841041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bCs/>
                <w:color w:val="666666"/>
                <w:sz w:val="20"/>
                <w:szCs w:val="20"/>
                <w:lang w:eastAsia="hr-HR"/>
              </w:rPr>
              <w:t>Pripremljen</w:t>
            </w:r>
            <w:r w:rsidRPr="008D5D1B">
              <w:rPr>
                <w:rFonts w:ascii="Arial Narrow" w:eastAsia="Times New Roman" w:hAnsi="Arial Narrow" w:cs="Times New Roman"/>
                <w:bCs/>
                <w:color w:val="666666"/>
                <w:sz w:val="20"/>
                <w:szCs w:val="20"/>
                <w:lang w:eastAsia="hr-HR"/>
              </w:rPr>
              <w:t xml:space="preserve"> kurikulum međupredmetne teme Poduzetništvo, u okviru kojeg je pripremljena domena Ekonomska i financijska pismenost.</w:t>
            </w:r>
          </w:p>
          <w:p w14:paraId="6D841042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bCs/>
                <w:color w:val="666666"/>
                <w:sz w:val="20"/>
                <w:szCs w:val="20"/>
                <w:lang w:eastAsia="hr-HR"/>
              </w:rPr>
              <w:t>Broj održanih radionica za nastavnike, broj predavanja i broj nastavnik</w:t>
            </w:r>
            <w:r>
              <w:rPr>
                <w:rFonts w:ascii="Arial Narrow" w:eastAsia="Times New Roman" w:hAnsi="Arial Narrow" w:cs="Times New Roman"/>
                <w:bCs/>
                <w:color w:val="666666"/>
                <w:sz w:val="20"/>
                <w:szCs w:val="20"/>
                <w:lang w:eastAsia="hr-HR"/>
              </w:rPr>
              <w:t>a</w:t>
            </w:r>
            <w:r w:rsidRPr="008D5D1B">
              <w:rPr>
                <w:rFonts w:ascii="Arial Narrow" w:eastAsia="Times New Roman" w:hAnsi="Arial Narrow" w:cs="Times New Roman"/>
                <w:bCs/>
                <w:color w:val="666666"/>
                <w:sz w:val="20"/>
                <w:szCs w:val="20"/>
                <w:lang w:eastAsia="hr-HR"/>
              </w:rPr>
              <w:t xml:space="preserve"> koji su sudjelovali.</w:t>
            </w:r>
          </w:p>
        </w:tc>
      </w:tr>
      <w:tr w:rsidR="00B05A72" w:rsidRPr="008D5D1B" w14:paraId="6D84104D" w14:textId="77777777" w:rsidTr="0099019C">
        <w:trPr>
          <w:jc w:val="center"/>
        </w:trPr>
        <w:tc>
          <w:tcPr>
            <w:tcW w:w="209" w:type="pct"/>
            <w:vMerge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044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03" w:type="pct"/>
            <w:vMerge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045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91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046" w14:textId="77777777" w:rsidR="00B05A72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Održavanje</w:t>
            </w: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 različitih stručnih seminara, radionica, savjetovanja i slično u kontekstu hrvatskog tržišta osiguranja (CEDOH – Centar za edukaciju koji djeluje u okviru HUO-a, provodi edukativne aktivnosti otvorenog tipa).</w:t>
            </w:r>
          </w:p>
          <w:p w14:paraId="6D841047" w14:textId="77777777" w:rsidR="00D652EE" w:rsidRPr="008D5D1B" w:rsidRDefault="00D652E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1169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048" w14:textId="77777777" w:rsidR="00B05A72" w:rsidRPr="008D5D1B" w:rsidRDefault="00B05A72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HUO</w:t>
            </w:r>
          </w:p>
        </w:tc>
        <w:tc>
          <w:tcPr>
            <w:tcW w:w="47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049" w14:textId="77777777" w:rsidR="00B05A72" w:rsidRPr="008D5D1B" w:rsidRDefault="00B05A72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Kontinuirano</w:t>
            </w:r>
          </w:p>
        </w:tc>
        <w:tc>
          <w:tcPr>
            <w:tcW w:w="604" w:type="pct"/>
            <w:vMerge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04A" w14:textId="77777777" w:rsidR="00B05A72" w:rsidRPr="008D5D1B" w:rsidRDefault="00B05A72" w:rsidP="002E6603">
            <w:pPr>
              <w:spacing w:after="0" w:line="336" w:lineRule="atLeast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2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04B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04C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Broj održanih </w:t>
            </w: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stručnih </w:t>
            </w: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seminara</w:t>
            </w: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, radionica, savjetovanja i drugih događanja.</w:t>
            </w:r>
          </w:p>
        </w:tc>
      </w:tr>
      <w:tr w:rsidR="00E12859" w:rsidRPr="008D5D1B" w14:paraId="6D841056" w14:textId="77777777" w:rsidTr="0099019C">
        <w:trPr>
          <w:jc w:val="center"/>
        </w:trPr>
        <w:tc>
          <w:tcPr>
            <w:tcW w:w="209" w:type="pct"/>
            <w:vMerge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04E" w14:textId="77777777" w:rsidR="00E12859" w:rsidRPr="008D5D1B" w:rsidRDefault="00E12859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03" w:type="pct"/>
            <w:vMerge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04F" w14:textId="77777777" w:rsidR="00E12859" w:rsidRPr="008D5D1B" w:rsidRDefault="00E12859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91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050" w14:textId="77777777" w:rsidR="00E12859" w:rsidRDefault="00E12859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Održavanje javnih događanja što će uz informiranje građana o njihovim potrošačkim pravima, uključivati i edukaciju gospodarstvenika o propisima iz područja zaštite prava potrošača. </w:t>
            </w:r>
          </w:p>
          <w:p w14:paraId="6D841051" w14:textId="77777777" w:rsidR="00D652EE" w:rsidRDefault="00D652E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1169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052" w14:textId="77777777" w:rsidR="00E12859" w:rsidRPr="008D5D1B" w:rsidRDefault="00A46D66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MINGPO</w:t>
            </w:r>
          </w:p>
        </w:tc>
        <w:tc>
          <w:tcPr>
            <w:tcW w:w="47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053" w14:textId="77777777" w:rsidR="00E12859" w:rsidRPr="008D5D1B" w:rsidRDefault="00A46D66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Kontinuirano</w:t>
            </w:r>
          </w:p>
        </w:tc>
        <w:tc>
          <w:tcPr>
            <w:tcW w:w="604" w:type="pct"/>
            <w:vMerge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054" w14:textId="77777777" w:rsidR="00E12859" w:rsidRPr="008D5D1B" w:rsidRDefault="00E12859" w:rsidP="002E6603">
            <w:pPr>
              <w:spacing w:after="0" w:line="336" w:lineRule="atLeast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2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055" w14:textId="77777777" w:rsidR="00E12859" w:rsidRPr="008D5D1B" w:rsidRDefault="00D652E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Broj održanih javnih događanja, edukacija, broj sudionika.</w:t>
            </w:r>
          </w:p>
        </w:tc>
      </w:tr>
      <w:tr w:rsidR="00B05A72" w:rsidRPr="008D5D1B" w14:paraId="6D84105E" w14:textId="77777777" w:rsidTr="0099019C">
        <w:trPr>
          <w:trHeight w:val="1553"/>
          <w:jc w:val="center"/>
        </w:trPr>
        <w:tc>
          <w:tcPr>
            <w:tcW w:w="209" w:type="pct"/>
            <w:vMerge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057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03" w:type="pct"/>
            <w:vMerge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058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91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059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Održavanje</w:t>
            </w: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 događanja i okruglih stolova za educiranje članova (između ostalog i u cilju zaštite potrošača), organizacija radnih ručkova i stručnih skupova s predstavnicima vlasti, gospodarstva i međunarodnih organizacija.</w:t>
            </w:r>
          </w:p>
        </w:tc>
        <w:tc>
          <w:tcPr>
            <w:tcW w:w="1169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05A" w14:textId="77777777" w:rsidR="00B05A72" w:rsidRPr="008D5D1B" w:rsidRDefault="00B05A72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HUP</w:t>
            </w:r>
          </w:p>
        </w:tc>
        <w:tc>
          <w:tcPr>
            <w:tcW w:w="47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05B" w14:textId="77777777" w:rsidR="00B05A72" w:rsidRPr="008D5D1B" w:rsidRDefault="00B05A72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Kontinuirano</w:t>
            </w:r>
          </w:p>
        </w:tc>
        <w:tc>
          <w:tcPr>
            <w:tcW w:w="604" w:type="pct"/>
            <w:vMerge/>
            <w:vAlign w:val="center"/>
            <w:hideMark/>
          </w:tcPr>
          <w:p w14:paraId="6D84105C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25" w:type="pct"/>
            <w:vAlign w:val="center"/>
            <w:hideMark/>
          </w:tcPr>
          <w:p w14:paraId="6D84105D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Broj </w:t>
            </w: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održanih okruglih stolova, radnih ručkova</w:t>
            </w: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,</w:t>
            </w: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 stručnih skupova i drugih događanja te</w:t>
            </w: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 broj sudionika.</w:t>
            </w:r>
          </w:p>
        </w:tc>
      </w:tr>
      <w:tr w:rsidR="00B05A72" w:rsidRPr="008D5D1B" w14:paraId="6D841069" w14:textId="77777777" w:rsidTr="0099019C">
        <w:trPr>
          <w:jc w:val="center"/>
        </w:trPr>
        <w:tc>
          <w:tcPr>
            <w:tcW w:w="209" w:type="pct"/>
            <w:vMerge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05F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03" w:type="pct"/>
            <w:vMerge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060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91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061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Stručni skupovi i okrugli stolovi na aktualne teme.</w:t>
            </w:r>
          </w:p>
        </w:tc>
        <w:tc>
          <w:tcPr>
            <w:tcW w:w="1169" w:type="pct"/>
            <w:vAlign w:val="center"/>
            <w:hideMark/>
          </w:tcPr>
          <w:p w14:paraId="6D841062" w14:textId="77777777" w:rsidR="00B05A72" w:rsidRPr="008D5D1B" w:rsidRDefault="00B05A72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UMFO</w:t>
            </w:r>
          </w:p>
        </w:tc>
        <w:tc>
          <w:tcPr>
            <w:tcW w:w="47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063" w14:textId="77777777" w:rsidR="00B05A72" w:rsidRPr="008D5D1B" w:rsidRDefault="00B05A72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Kontinuirano</w:t>
            </w:r>
          </w:p>
        </w:tc>
        <w:tc>
          <w:tcPr>
            <w:tcW w:w="604" w:type="pct"/>
            <w:vMerge/>
            <w:vAlign w:val="center"/>
            <w:hideMark/>
          </w:tcPr>
          <w:p w14:paraId="6D841064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25" w:type="pct"/>
            <w:vMerge w:val="restar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065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bCs/>
                <w:color w:val="666666"/>
                <w:sz w:val="20"/>
                <w:szCs w:val="20"/>
                <w:lang w:eastAsia="hr-HR"/>
              </w:rPr>
              <w:t>B</w:t>
            </w:r>
            <w:r w:rsidRPr="008D5D1B">
              <w:rPr>
                <w:rFonts w:ascii="Arial Narrow" w:eastAsia="Times New Roman" w:hAnsi="Arial Narrow" w:cs="Times New Roman"/>
                <w:bCs/>
                <w:color w:val="666666"/>
                <w:sz w:val="20"/>
                <w:szCs w:val="20"/>
                <w:lang w:eastAsia="hr-HR"/>
              </w:rPr>
              <w:t>roj održanih konferencija,</w:t>
            </w:r>
            <w:r>
              <w:rPr>
                <w:rFonts w:ascii="Arial Narrow" w:eastAsia="Times New Roman" w:hAnsi="Arial Narrow" w:cs="Times New Roman"/>
                <w:bCs/>
                <w:color w:val="666666"/>
                <w:sz w:val="20"/>
                <w:szCs w:val="20"/>
                <w:lang w:eastAsia="hr-HR"/>
              </w:rPr>
              <w:t xml:space="preserve"> skupova, okruglih stolova i drugih edukativnih događaja,</w:t>
            </w:r>
            <w:r w:rsidRPr="008D5D1B">
              <w:rPr>
                <w:rFonts w:ascii="Arial Narrow" w:eastAsia="Times New Roman" w:hAnsi="Arial Narrow" w:cs="Times New Roman"/>
                <w:bCs/>
                <w:color w:val="666666"/>
                <w:sz w:val="20"/>
                <w:szCs w:val="20"/>
                <w:lang w:eastAsia="hr-HR"/>
              </w:rPr>
              <w:t xml:space="preserve"> broj sudionika.</w:t>
            </w:r>
          </w:p>
          <w:p w14:paraId="6D841066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666666"/>
                <w:sz w:val="20"/>
                <w:szCs w:val="20"/>
                <w:lang w:eastAsia="hr-HR"/>
              </w:rPr>
            </w:pPr>
          </w:p>
          <w:p w14:paraId="6D841067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666666"/>
                <w:sz w:val="20"/>
                <w:szCs w:val="20"/>
                <w:lang w:eastAsia="hr-HR"/>
              </w:rPr>
            </w:pPr>
          </w:p>
          <w:p w14:paraId="6D841068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</w:tr>
      <w:tr w:rsidR="00B05A72" w:rsidRPr="008D5D1B" w14:paraId="6D841072" w14:textId="77777777" w:rsidTr="0099019C">
        <w:trPr>
          <w:jc w:val="center"/>
        </w:trPr>
        <w:tc>
          <w:tcPr>
            <w:tcW w:w="209" w:type="pct"/>
            <w:vMerge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06A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03" w:type="pct"/>
            <w:vMerge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06B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91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06C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Održavanje</w:t>
            </w: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 konferencije namijenjene</w:t>
            </w: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 stručnoj i poslovnoj javnosti.</w:t>
            </w:r>
          </w:p>
        </w:tc>
        <w:tc>
          <w:tcPr>
            <w:tcW w:w="1169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06D" w14:textId="77777777" w:rsidR="00B05A72" w:rsidRPr="008D5D1B" w:rsidRDefault="00B05A72" w:rsidP="002E6603">
            <w:pPr>
              <w:spacing w:after="0" w:line="336" w:lineRule="atLeast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UMFO</w:t>
            </w:r>
          </w:p>
          <w:p w14:paraId="6D84106E" w14:textId="77777777" w:rsidR="00B05A72" w:rsidRPr="008D5D1B" w:rsidRDefault="00B05A72" w:rsidP="002E6603">
            <w:pPr>
              <w:spacing w:after="0" w:line="336" w:lineRule="atLeast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ZSE</w:t>
            </w:r>
          </w:p>
        </w:tc>
        <w:tc>
          <w:tcPr>
            <w:tcW w:w="47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06F" w14:textId="77777777" w:rsidR="00B05A72" w:rsidRPr="008D5D1B" w:rsidRDefault="00B05A72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IV. kvartal</w:t>
            </w:r>
          </w:p>
        </w:tc>
        <w:tc>
          <w:tcPr>
            <w:tcW w:w="604" w:type="pct"/>
            <w:vMerge/>
            <w:vAlign w:val="center"/>
            <w:hideMark/>
          </w:tcPr>
          <w:p w14:paraId="6D841070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25" w:type="pct"/>
            <w:vMerge/>
            <w:vAlign w:val="center"/>
            <w:hideMark/>
          </w:tcPr>
          <w:p w14:paraId="6D841071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</w:tr>
      <w:tr w:rsidR="00B05A72" w:rsidRPr="008D5D1B" w14:paraId="6D84107A" w14:textId="77777777" w:rsidTr="0099019C">
        <w:trPr>
          <w:jc w:val="center"/>
        </w:trPr>
        <w:tc>
          <w:tcPr>
            <w:tcW w:w="209" w:type="pct"/>
            <w:vMerge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073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03" w:type="pct"/>
            <w:vMerge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074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91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075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Održavanje</w:t>
            </w: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 i sudjelovanje na raznim konferencijama, skupovima, okruglim stolovima tematski vezanih uz po</w:t>
            </w: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dizanje financijske pismenosti.</w:t>
            </w:r>
          </w:p>
        </w:tc>
        <w:tc>
          <w:tcPr>
            <w:tcW w:w="1169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076" w14:textId="77777777" w:rsidR="00B05A72" w:rsidRPr="008D5D1B" w:rsidRDefault="00B05A72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HUB</w:t>
            </w:r>
          </w:p>
        </w:tc>
        <w:tc>
          <w:tcPr>
            <w:tcW w:w="475" w:type="pct"/>
            <w:vMerge w:val="restar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077" w14:textId="77777777" w:rsidR="00B05A72" w:rsidRPr="008D5D1B" w:rsidRDefault="00B05A72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Kontinuirano</w:t>
            </w:r>
          </w:p>
        </w:tc>
        <w:tc>
          <w:tcPr>
            <w:tcW w:w="604" w:type="pct"/>
            <w:vMerge/>
            <w:vAlign w:val="center"/>
            <w:hideMark/>
          </w:tcPr>
          <w:p w14:paraId="6D841078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25" w:type="pct"/>
            <w:vMerge/>
            <w:vAlign w:val="center"/>
            <w:hideMark/>
          </w:tcPr>
          <w:p w14:paraId="6D841079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</w:tr>
      <w:tr w:rsidR="00B05A72" w:rsidRPr="008D5D1B" w14:paraId="6D841084" w14:textId="77777777" w:rsidTr="0099019C">
        <w:trPr>
          <w:jc w:val="center"/>
        </w:trPr>
        <w:tc>
          <w:tcPr>
            <w:tcW w:w="209" w:type="pct"/>
            <w:vMerge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07B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03" w:type="pct"/>
            <w:vMerge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07C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91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07D" w14:textId="77777777" w:rsidR="00B05A72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Održavanje </w:t>
            </w: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različitih edukativnih događanja u Zagrebu i drugim gradovima te kroz mrežu županijskih komora, u cilju podizanja razine financijske pismenosti učenika srednjih škola, studenata i poslovnih subjekata.</w:t>
            </w:r>
          </w:p>
          <w:p w14:paraId="6D84107E" w14:textId="77777777" w:rsidR="00B05A72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07F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1169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080" w14:textId="77777777" w:rsidR="00B05A72" w:rsidRPr="008D5D1B" w:rsidRDefault="00B05A72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HGK</w:t>
            </w:r>
          </w:p>
        </w:tc>
        <w:tc>
          <w:tcPr>
            <w:tcW w:w="475" w:type="pct"/>
            <w:vMerge/>
            <w:vAlign w:val="center"/>
            <w:hideMark/>
          </w:tcPr>
          <w:p w14:paraId="6D841081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14:paraId="6D841082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25" w:type="pct"/>
            <w:vMerge/>
            <w:vAlign w:val="center"/>
            <w:hideMark/>
          </w:tcPr>
          <w:p w14:paraId="6D841083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</w:tr>
      <w:tr w:rsidR="00B05A72" w:rsidRPr="008D5D1B" w14:paraId="6D84108C" w14:textId="77777777" w:rsidTr="0099019C">
        <w:trPr>
          <w:trHeight w:val="465"/>
          <w:jc w:val="center"/>
        </w:trPr>
        <w:tc>
          <w:tcPr>
            <w:tcW w:w="209" w:type="pct"/>
            <w:vMerge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085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03" w:type="pct"/>
            <w:vMerge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086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91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087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Održavanje radionica za edukaciju potrošača</w:t>
            </w:r>
          </w:p>
        </w:tc>
        <w:tc>
          <w:tcPr>
            <w:tcW w:w="1169" w:type="pct"/>
            <w:vMerge w:val="restar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088" w14:textId="77777777" w:rsidR="00B05A72" w:rsidRPr="008D5D1B" w:rsidRDefault="00B05A72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HIFE</w:t>
            </w:r>
          </w:p>
        </w:tc>
        <w:tc>
          <w:tcPr>
            <w:tcW w:w="475" w:type="pct"/>
            <w:vAlign w:val="center"/>
          </w:tcPr>
          <w:p w14:paraId="6D841089" w14:textId="77777777" w:rsidR="00B05A72" w:rsidRPr="008D5D1B" w:rsidRDefault="00B05A72" w:rsidP="00FF2D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Kontinuirano</w:t>
            </w:r>
          </w:p>
        </w:tc>
        <w:tc>
          <w:tcPr>
            <w:tcW w:w="604" w:type="pct"/>
            <w:vMerge/>
            <w:vAlign w:val="center"/>
          </w:tcPr>
          <w:p w14:paraId="6D84108A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25" w:type="pct"/>
            <w:vMerge w:val="restart"/>
            <w:vAlign w:val="center"/>
          </w:tcPr>
          <w:p w14:paraId="6D84108B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Broj organiziranih radionica i broj sudionika.</w:t>
            </w:r>
          </w:p>
        </w:tc>
      </w:tr>
      <w:tr w:rsidR="00B05A72" w:rsidRPr="008D5D1B" w14:paraId="6D841094" w14:textId="77777777" w:rsidTr="0099019C">
        <w:trPr>
          <w:trHeight w:val="225"/>
          <w:jc w:val="center"/>
        </w:trPr>
        <w:tc>
          <w:tcPr>
            <w:tcW w:w="209" w:type="pct"/>
            <w:vMerge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08D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03" w:type="pct"/>
            <w:vMerge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08E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91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08F" w14:textId="77777777" w:rsidR="00B05A72" w:rsidRPr="00FF2D05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FF2D05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Nastavak</w:t>
            </w: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 provedbe</w:t>
            </w:r>
            <w:r w:rsidRPr="00FF2D05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 projekta „</w:t>
            </w:r>
            <w:r w:rsidRPr="00615D1F">
              <w:rPr>
                <w:rFonts w:ascii="Arial Narrow" w:eastAsia="Times New Roman" w:hAnsi="Arial Narrow" w:cs="Times New Roman"/>
                <w:i/>
                <w:color w:val="666666"/>
                <w:sz w:val="20"/>
                <w:szCs w:val="20"/>
                <w:lang w:eastAsia="hr-HR"/>
              </w:rPr>
              <w:t>Abeceda poduzetništva</w:t>
            </w:r>
            <w:r w:rsidRPr="00FF2D05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“ u srednjim školama</w:t>
            </w:r>
          </w:p>
        </w:tc>
        <w:tc>
          <w:tcPr>
            <w:tcW w:w="1169" w:type="pct"/>
            <w:vMerge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090" w14:textId="77777777" w:rsidR="00B05A72" w:rsidRDefault="00B05A72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475" w:type="pct"/>
            <w:vAlign w:val="center"/>
          </w:tcPr>
          <w:p w14:paraId="6D841091" w14:textId="77777777" w:rsidR="00B05A72" w:rsidRDefault="00B05A72" w:rsidP="00FF2D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FF2D05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IV. kvartal</w:t>
            </w:r>
          </w:p>
        </w:tc>
        <w:tc>
          <w:tcPr>
            <w:tcW w:w="604" w:type="pct"/>
            <w:vMerge/>
            <w:vAlign w:val="center"/>
          </w:tcPr>
          <w:p w14:paraId="6D841092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25" w:type="pct"/>
            <w:vMerge/>
            <w:vAlign w:val="center"/>
          </w:tcPr>
          <w:p w14:paraId="6D841093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</w:tr>
      <w:tr w:rsidR="00B05A72" w:rsidRPr="008D5D1B" w14:paraId="6D84109C" w14:textId="77777777" w:rsidTr="0099019C">
        <w:trPr>
          <w:jc w:val="center"/>
        </w:trPr>
        <w:tc>
          <w:tcPr>
            <w:tcW w:w="209" w:type="pct"/>
            <w:vMerge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095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03" w:type="pct"/>
            <w:vMerge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096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91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097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Sudjelovanje u radu </w:t>
            </w: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eng.</w:t>
            </w: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Child and youth finance working group for youth financial education and financial inclusion South Eastern Europe</w:t>
            </w:r>
          </w:p>
        </w:tc>
        <w:tc>
          <w:tcPr>
            <w:tcW w:w="1169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098" w14:textId="77777777" w:rsidR="00B05A72" w:rsidRPr="008D5D1B" w:rsidRDefault="00B05A72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HNB</w:t>
            </w:r>
          </w:p>
        </w:tc>
        <w:tc>
          <w:tcPr>
            <w:tcW w:w="47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099" w14:textId="77777777" w:rsidR="00B05A72" w:rsidRPr="008D5D1B" w:rsidRDefault="00B05A72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Kontinuirano</w:t>
            </w:r>
          </w:p>
        </w:tc>
        <w:tc>
          <w:tcPr>
            <w:tcW w:w="604" w:type="pct"/>
            <w:vMerge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09A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2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09B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Broj o</w:t>
            </w: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držanih događanja.</w:t>
            </w:r>
          </w:p>
        </w:tc>
      </w:tr>
      <w:tr w:rsidR="00B05A72" w:rsidRPr="008D5D1B" w14:paraId="6D8410A4" w14:textId="77777777" w:rsidTr="00B05A72">
        <w:trPr>
          <w:trHeight w:val="2576"/>
          <w:jc w:val="center"/>
        </w:trPr>
        <w:tc>
          <w:tcPr>
            <w:tcW w:w="209" w:type="pct"/>
            <w:vMerge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09D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03" w:type="pct"/>
            <w:vMerge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09E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91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09F" w14:textId="77777777" w:rsidR="00B05A72" w:rsidRPr="008D5D1B" w:rsidRDefault="00B05A72" w:rsidP="00F855A6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Održavanje seminara i radionica</w:t>
            </w:r>
            <w:r w:rsidRPr="00F855A6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 u kojima</w:t>
            </w: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 SSSH i udruženi sindikati</w:t>
            </w:r>
            <w:r w:rsidRPr="00F855A6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 financijski educiraju radnike - sindikalne povjerenike, članove Radničkih vijeća i sindikalne povjerenike za zaštitu na radu, kako što kvalitetnije nadzirati obračun plaće i ostalih materijalnih prava iz radnog odnosa. </w:t>
            </w:r>
          </w:p>
        </w:tc>
        <w:tc>
          <w:tcPr>
            <w:tcW w:w="1169" w:type="pct"/>
            <w:vMerge w:val="restar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0A0" w14:textId="77777777" w:rsidR="00B05A72" w:rsidRPr="008D5D1B" w:rsidRDefault="00B05A72" w:rsidP="00F855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SSSH</w:t>
            </w:r>
          </w:p>
        </w:tc>
        <w:tc>
          <w:tcPr>
            <w:tcW w:w="475" w:type="pct"/>
            <w:vMerge w:val="restar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0A1" w14:textId="77777777" w:rsidR="00B05A72" w:rsidRPr="008D5D1B" w:rsidRDefault="00B05A72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Kontinuirano</w:t>
            </w:r>
          </w:p>
        </w:tc>
        <w:tc>
          <w:tcPr>
            <w:tcW w:w="604" w:type="pct"/>
            <w:vMerge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0A2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25" w:type="pct"/>
            <w:vMerge w:val="restar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0A3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Broj seminara/radionica i broj</w:t>
            </w:r>
            <w:r w:rsidRPr="00F855A6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 sudionika</w:t>
            </w: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.</w:t>
            </w:r>
          </w:p>
        </w:tc>
      </w:tr>
      <w:tr w:rsidR="00B05A72" w:rsidRPr="008D5D1B" w14:paraId="6D8410AC" w14:textId="77777777" w:rsidTr="0099019C">
        <w:trPr>
          <w:trHeight w:val="872"/>
          <w:jc w:val="center"/>
        </w:trPr>
        <w:tc>
          <w:tcPr>
            <w:tcW w:w="209" w:type="pct"/>
            <w:vMerge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0A5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03" w:type="pct"/>
            <w:vMerge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0A6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91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0A7" w14:textId="77777777" w:rsidR="00B05A72" w:rsidRDefault="00B05A72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Održavanje radionice „Rad</w:t>
            </w:r>
            <w:r w:rsidR="00263BFF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 nije roba“, radionica</w:t>
            </w: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 za aktiviste Sekcije mladih</w:t>
            </w:r>
            <w:r w:rsidR="00263BFF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 SSSH, informativnih</w:t>
            </w: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 radionic</w:t>
            </w:r>
            <w:r w:rsidR="00263BFF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a</w:t>
            </w: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 za mlade o radnim pravima i sindikatu, </w:t>
            </w:r>
            <w:r w:rsidR="00263BFF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radionica za mlade o radnim pravima i sindikalnom radu, </w:t>
            </w: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radionic</w:t>
            </w:r>
            <w:r w:rsidR="00C1777C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a</w:t>
            </w: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 umrežavanja aktivista SSSH i organizacija civilnog društva, te konferencije „Mladi u sindikatu 21. stoljeća“.</w:t>
            </w:r>
          </w:p>
        </w:tc>
        <w:tc>
          <w:tcPr>
            <w:tcW w:w="1169" w:type="pct"/>
            <w:vMerge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0A8" w14:textId="77777777" w:rsidR="00B05A72" w:rsidRDefault="00B05A72" w:rsidP="00F855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475" w:type="pct"/>
            <w:vMerge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0A9" w14:textId="77777777" w:rsidR="00B05A72" w:rsidRDefault="00B05A72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604" w:type="pct"/>
            <w:vMerge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0AA" w14:textId="77777777" w:rsidR="00B05A72" w:rsidRPr="008D5D1B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25" w:type="pct"/>
            <w:vMerge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0AB" w14:textId="77777777" w:rsidR="00B05A72" w:rsidRDefault="00B05A72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</w:tr>
      <w:tr w:rsidR="00A619FE" w:rsidRPr="008D5D1B" w14:paraId="6D841143" w14:textId="77777777" w:rsidTr="0099019C">
        <w:trPr>
          <w:jc w:val="center"/>
        </w:trPr>
        <w:tc>
          <w:tcPr>
            <w:tcW w:w="209" w:type="pct"/>
            <w:vMerge w:val="restar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0AD" w14:textId="77777777" w:rsidR="00A619FE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3.</w:t>
            </w:r>
          </w:p>
          <w:p w14:paraId="6D8410AE" w14:textId="77777777" w:rsidR="00A619FE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0AF" w14:textId="77777777" w:rsidR="00A619FE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0B0" w14:textId="77777777" w:rsidR="00A619FE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0B1" w14:textId="77777777" w:rsidR="00A619FE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0B2" w14:textId="77777777" w:rsidR="00A619FE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0B3" w14:textId="77777777" w:rsidR="00A619FE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0B4" w14:textId="77777777" w:rsidR="00A619FE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0B5" w14:textId="77777777" w:rsidR="00A619FE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0B6" w14:textId="77777777" w:rsidR="00A619FE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0B7" w14:textId="77777777" w:rsidR="00A619FE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0B8" w14:textId="77777777" w:rsidR="00A619FE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0B9" w14:textId="77777777" w:rsidR="00A619FE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0BA" w14:textId="77777777" w:rsidR="00A619FE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0BB" w14:textId="77777777" w:rsidR="00A619FE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0BC" w14:textId="77777777" w:rsidR="00A619FE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0BD" w14:textId="77777777" w:rsidR="00A619FE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0BE" w14:textId="77777777" w:rsidR="00A619FE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0BF" w14:textId="77777777" w:rsidR="00A619FE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0C0" w14:textId="77777777" w:rsidR="00A619FE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0C1" w14:textId="77777777" w:rsidR="00A619FE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0C2" w14:textId="77777777" w:rsidR="00A619FE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0C3" w14:textId="77777777" w:rsidR="00A619FE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0C4" w14:textId="77777777" w:rsidR="00A619FE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0C5" w14:textId="77777777" w:rsidR="00A619FE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0C6" w14:textId="77777777" w:rsidR="00A619FE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0C7" w14:textId="77777777" w:rsidR="00A619FE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0C8" w14:textId="77777777" w:rsidR="00A619FE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0C9" w14:textId="77777777" w:rsidR="00A619FE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0CA" w14:textId="77777777" w:rsidR="00A619FE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0CB" w14:textId="77777777" w:rsidR="00A619FE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0CC" w14:textId="77777777" w:rsidR="00A619FE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0CD" w14:textId="77777777" w:rsidR="00A619FE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0CE" w14:textId="77777777" w:rsidR="00A619FE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0CF" w14:textId="77777777" w:rsidR="00A619FE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0D0" w14:textId="77777777" w:rsidR="00A619FE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0D1" w14:textId="77777777" w:rsidR="00A619FE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0D2" w14:textId="77777777" w:rsidR="00A619FE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0D3" w14:textId="77777777" w:rsidR="00A619FE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0D4" w14:textId="77777777" w:rsidR="00A619FE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0D5" w14:textId="77777777" w:rsidR="00A619FE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0D6" w14:textId="77777777" w:rsidR="00A619FE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0D7" w14:textId="77777777" w:rsidR="00A619FE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0D8" w14:textId="77777777" w:rsidR="00A619FE" w:rsidRPr="008D5D1B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03" w:type="pct"/>
            <w:vMerge w:val="restar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0D9" w14:textId="77777777" w:rsidR="00A619FE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Edukacijske aktivnosti u svezi s fina</w:t>
            </w: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ncijskom pismenosti</w:t>
            </w:r>
          </w:p>
          <w:p w14:paraId="6D8410DA" w14:textId="77777777" w:rsidR="00A619FE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0DB" w14:textId="77777777" w:rsidR="00A619FE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0DC" w14:textId="77777777" w:rsidR="00A619FE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0DD" w14:textId="77777777" w:rsidR="00A619FE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0DE" w14:textId="77777777" w:rsidR="00A619FE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0DF" w14:textId="77777777" w:rsidR="00A619FE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0E0" w14:textId="77777777" w:rsidR="00A619FE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0E1" w14:textId="77777777" w:rsidR="00A619FE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0E2" w14:textId="77777777" w:rsidR="00A619FE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0E3" w14:textId="77777777" w:rsidR="00A619FE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0E4" w14:textId="77777777" w:rsidR="00A619FE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0E5" w14:textId="77777777" w:rsidR="00A619FE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0E6" w14:textId="77777777" w:rsidR="00A619FE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0E7" w14:textId="77777777" w:rsidR="00A619FE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0E8" w14:textId="77777777" w:rsidR="00A619FE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0E9" w14:textId="77777777" w:rsidR="00A619FE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0EA" w14:textId="77777777" w:rsidR="00A619FE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0EB" w14:textId="77777777" w:rsidR="00A619FE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0EC" w14:textId="77777777" w:rsidR="00A619FE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0ED" w14:textId="77777777" w:rsidR="00A619FE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0EE" w14:textId="77777777" w:rsidR="00A619FE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0EF" w14:textId="77777777" w:rsidR="00A619FE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0F0" w14:textId="77777777" w:rsidR="00A619FE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0F1" w14:textId="77777777" w:rsidR="00A619FE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0F2" w14:textId="77777777" w:rsidR="00A619FE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0F3" w14:textId="77777777" w:rsidR="00A619FE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0F4" w14:textId="77777777" w:rsidR="00A619FE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0F5" w14:textId="77777777" w:rsidR="00A619FE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0F6" w14:textId="77777777" w:rsidR="00A619FE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0F7" w14:textId="77777777" w:rsidR="00A619FE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0F8" w14:textId="77777777" w:rsidR="00A619FE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0F9" w14:textId="77777777" w:rsidR="00A619FE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0FA" w14:textId="77777777" w:rsidR="00A619FE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0FB" w14:textId="77777777" w:rsidR="00A619FE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0FC" w14:textId="77777777" w:rsidR="00A619FE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0FD" w14:textId="77777777" w:rsidR="00A619FE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0FE" w14:textId="77777777" w:rsidR="00A619FE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0FF" w14:textId="77777777" w:rsidR="00A619FE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100" w14:textId="77777777" w:rsidR="00A619FE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101" w14:textId="77777777" w:rsidR="00A619FE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102" w14:textId="77777777" w:rsidR="00A619FE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103" w14:textId="77777777" w:rsidR="00A619FE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104" w14:textId="77777777" w:rsidR="00A619FE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105" w14:textId="77777777" w:rsidR="00A619FE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106" w14:textId="77777777" w:rsidR="00A619FE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107" w14:textId="77777777" w:rsidR="00A619FE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108" w14:textId="77777777" w:rsidR="00A619FE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109" w14:textId="77777777" w:rsidR="00A619FE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10A" w14:textId="77777777" w:rsidR="00A619FE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10B" w14:textId="77777777" w:rsidR="00A619FE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10C" w14:textId="77777777" w:rsidR="00A619FE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10D" w14:textId="77777777" w:rsidR="00A619FE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10E" w14:textId="77777777" w:rsidR="00A619FE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10F" w14:textId="77777777" w:rsidR="00A619FE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110" w14:textId="77777777" w:rsidR="00A619FE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111" w14:textId="77777777" w:rsidR="00A619FE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112" w14:textId="77777777" w:rsidR="00A619FE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113" w14:textId="77777777" w:rsidR="00A619FE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114" w14:textId="77777777" w:rsidR="00A619FE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115" w14:textId="77777777" w:rsidR="00A619FE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116" w14:textId="77777777" w:rsidR="00A619FE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117" w14:textId="77777777" w:rsidR="00A619FE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118" w14:textId="77777777" w:rsidR="00A619FE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119" w14:textId="77777777" w:rsidR="00A619FE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11A" w14:textId="77777777" w:rsidR="00A619FE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11B" w14:textId="77777777" w:rsidR="00A619FE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11C" w14:textId="77777777" w:rsidR="00A619FE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11D" w14:textId="77777777" w:rsidR="00A619FE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11E" w14:textId="77777777" w:rsidR="00A619FE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11F" w14:textId="77777777" w:rsidR="00A619FE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120" w14:textId="77777777" w:rsidR="00A619FE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121" w14:textId="77777777" w:rsidR="00A619FE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122" w14:textId="77777777" w:rsidR="00A619FE" w:rsidRPr="008D5D1B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91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123" w14:textId="77777777" w:rsidR="00A619FE" w:rsidRPr="008D5D1B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Održavanje predavanja namijenjenih</w:t>
            </w: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 učenicima i studentima, prezentacije iz područja financijskih usluga koje uključuju teme vezane uz podizanje svijesti o važnosti financijske izobrazbe.</w:t>
            </w:r>
          </w:p>
        </w:tc>
        <w:tc>
          <w:tcPr>
            <w:tcW w:w="1169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124" w14:textId="77777777" w:rsidR="00A619FE" w:rsidRPr="008D5D1B" w:rsidRDefault="00A619FE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HANFA</w:t>
            </w:r>
          </w:p>
        </w:tc>
        <w:tc>
          <w:tcPr>
            <w:tcW w:w="47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125" w14:textId="77777777" w:rsidR="00A619FE" w:rsidRPr="008D5D1B" w:rsidRDefault="00A619FE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Kontinuirano</w:t>
            </w:r>
          </w:p>
        </w:tc>
        <w:tc>
          <w:tcPr>
            <w:tcW w:w="604" w:type="pct"/>
            <w:vMerge w:val="restar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126" w14:textId="77777777" w:rsidR="00A619FE" w:rsidRDefault="00A619FE" w:rsidP="002E6603">
            <w:pPr>
              <w:spacing w:after="0" w:line="336" w:lineRule="atLeast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HANFA, HNB, HGK, ZSE, HUO, ŠTEDOPIS, </w:t>
            </w: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EFZG </w:t>
            </w: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– vlastita sredstva</w:t>
            </w:r>
          </w:p>
          <w:p w14:paraId="6D841127" w14:textId="77777777" w:rsidR="00A619FE" w:rsidRDefault="00A619FE" w:rsidP="002E6603">
            <w:pPr>
              <w:spacing w:after="0" w:line="336" w:lineRule="atLeast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128" w14:textId="77777777" w:rsidR="00A619FE" w:rsidRDefault="00A619FE" w:rsidP="002E6603">
            <w:pPr>
              <w:spacing w:after="0" w:line="336" w:lineRule="atLeast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129" w14:textId="77777777" w:rsidR="00A619FE" w:rsidRDefault="00A619FE" w:rsidP="002E6603">
            <w:pPr>
              <w:spacing w:after="0" w:line="336" w:lineRule="atLeast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12A" w14:textId="77777777" w:rsidR="00A619FE" w:rsidRDefault="00A619FE" w:rsidP="002E6603">
            <w:pPr>
              <w:spacing w:after="0" w:line="336" w:lineRule="atLeast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12B" w14:textId="77777777" w:rsidR="00A619FE" w:rsidRDefault="00A619FE" w:rsidP="002E6603">
            <w:pPr>
              <w:spacing w:after="0" w:line="336" w:lineRule="atLeast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12C" w14:textId="77777777" w:rsidR="00A619FE" w:rsidRDefault="00A619FE" w:rsidP="002E6603">
            <w:pPr>
              <w:spacing w:after="0" w:line="336" w:lineRule="atLeast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12D" w14:textId="77777777" w:rsidR="00A619FE" w:rsidRDefault="00A619FE" w:rsidP="002E6603">
            <w:pPr>
              <w:spacing w:after="0" w:line="336" w:lineRule="atLeast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12E" w14:textId="77777777" w:rsidR="00A619FE" w:rsidRDefault="00A619FE" w:rsidP="002E6603">
            <w:pPr>
              <w:spacing w:after="0" w:line="336" w:lineRule="atLeast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12F" w14:textId="77777777" w:rsidR="00A619FE" w:rsidRDefault="00A619FE" w:rsidP="002E6603">
            <w:pPr>
              <w:spacing w:after="0" w:line="336" w:lineRule="atLeast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130" w14:textId="77777777" w:rsidR="00A619FE" w:rsidRDefault="00A619FE" w:rsidP="002E6603">
            <w:pPr>
              <w:spacing w:after="0" w:line="336" w:lineRule="atLeast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131" w14:textId="77777777" w:rsidR="00A619FE" w:rsidRDefault="00A619FE" w:rsidP="002E6603">
            <w:pPr>
              <w:spacing w:after="0" w:line="336" w:lineRule="atLeast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132" w14:textId="77777777" w:rsidR="00A619FE" w:rsidRDefault="00A619FE" w:rsidP="002E6603">
            <w:pPr>
              <w:spacing w:after="0" w:line="336" w:lineRule="atLeast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133" w14:textId="77777777" w:rsidR="00A619FE" w:rsidRDefault="00A619FE" w:rsidP="002E6603">
            <w:pPr>
              <w:spacing w:after="0" w:line="336" w:lineRule="atLeast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134" w14:textId="77777777" w:rsidR="00A619FE" w:rsidRDefault="00A619FE" w:rsidP="002E6603">
            <w:pPr>
              <w:spacing w:after="0" w:line="336" w:lineRule="atLeast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135" w14:textId="77777777" w:rsidR="00A619FE" w:rsidRDefault="00A619FE" w:rsidP="002E6603">
            <w:pPr>
              <w:spacing w:after="0" w:line="336" w:lineRule="atLeast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136" w14:textId="77777777" w:rsidR="00A619FE" w:rsidRDefault="00A619FE" w:rsidP="002E6603">
            <w:pPr>
              <w:spacing w:after="0" w:line="336" w:lineRule="atLeast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137" w14:textId="77777777" w:rsidR="00A619FE" w:rsidRDefault="00A619FE" w:rsidP="002E6603">
            <w:pPr>
              <w:spacing w:after="0" w:line="336" w:lineRule="atLeast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138" w14:textId="77777777" w:rsidR="00A619FE" w:rsidRDefault="00A619FE" w:rsidP="002E6603">
            <w:pPr>
              <w:spacing w:after="0" w:line="336" w:lineRule="atLeast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139" w14:textId="77777777" w:rsidR="00A619FE" w:rsidRDefault="00A619FE" w:rsidP="002E6603">
            <w:pPr>
              <w:spacing w:after="0" w:line="336" w:lineRule="atLeast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13A" w14:textId="77777777" w:rsidR="00A619FE" w:rsidRDefault="00A619FE" w:rsidP="002E6603">
            <w:pPr>
              <w:spacing w:after="0" w:line="336" w:lineRule="atLeast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13B" w14:textId="77777777" w:rsidR="00A619FE" w:rsidRDefault="00A619FE" w:rsidP="002E6603">
            <w:pPr>
              <w:spacing w:after="0" w:line="336" w:lineRule="atLeast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13C" w14:textId="77777777" w:rsidR="00A619FE" w:rsidRDefault="00A619FE" w:rsidP="002E6603">
            <w:pPr>
              <w:spacing w:after="0" w:line="336" w:lineRule="atLeast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13D" w14:textId="77777777" w:rsidR="00A619FE" w:rsidRDefault="00A619FE" w:rsidP="002E6603">
            <w:pPr>
              <w:spacing w:after="0" w:line="336" w:lineRule="atLeast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13E" w14:textId="77777777" w:rsidR="00A619FE" w:rsidRDefault="00A619FE" w:rsidP="002E6603">
            <w:pPr>
              <w:spacing w:after="0" w:line="336" w:lineRule="atLeast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13F" w14:textId="77777777" w:rsidR="00A619FE" w:rsidRDefault="00A619FE" w:rsidP="002E6603">
            <w:pPr>
              <w:spacing w:after="0" w:line="336" w:lineRule="atLeast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140" w14:textId="77777777" w:rsidR="00A619FE" w:rsidRDefault="00A619FE" w:rsidP="002E6603">
            <w:pPr>
              <w:spacing w:after="0" w:line="336" w:lineRule="atLeast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141" w14:textId="77777777" w:rsidR="00A619FE" w:rsidRPr="008D5D1B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2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142" w14:textId="77777777" w:rsidR="00A619FE" w:rsidRPr="008D5D1B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Broj</w:t>
            </w: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 posjeta učenika i studenata financijskim institucijama i državnim institucijama te broj održanih predavanja, radionica, prezentacija iz područja financijskih usluga. Broj učenika odnosno studenata koji su sudjelovali na predavanjima. Zaključak nakon analize evaluacijskih listića o održanim predavanjima.</w:t>
            </w:r>
          </w:p>
        </w:tc>
      </w:tr>
      <w:tr w:rsidR="00A619FE" w:rsidRPr="008D5D1B" w14:paraId="6D84114D" w14:textId="77777777" w:rsidTr="0099019C">
        <w:trPr>
          <w:jc w:val="center"/>
        </w:trPr>
        <w:tc>
          <w:tcPr>
            <w:tcW w:w="209" w:type="pct"/>
            <w:vMerge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144" w14:textId="77777777" w:rsidR="00A619FE" w:rsidRPr="008D5D1B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03" w:type="pct"/>
            <w:vMerge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145" w14:textId="77777777" w:rsidR="00A619FE" w:rsidRPr="008D5D1B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91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146" w14:textId="77777777" w:rsidR="00A619FE" w:rsidRPr="008D5D1B" w:rsidRDefault="00A619FE" w:rsidP="00FF2D05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FF2D05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Predavanja </w:t>
            </w: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namijenjena učenicima i studentima  koja uključuju teme vezane za upravljanje osobnim financijama, financijske proizvode/usluge, utjecaj reklama na odluke o potrošnji, teme vezane uz tržište kapitala i ulaganja u investicijske fondove. </w:t>
            </w:r>
          </w:p>
        </w:tc>
        <w:tc>
          <w:tcPr>
            <w:tcW w:w="1169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147" w14:textId="77777777" w:rsidR="00A619FE" w:rsidRPr="008D5D1B" w:rsidRDefault="00A619FE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HIFE</w:t>
            </w:r>
          </w:p>
        </w:tc>
        <w:tc>
          <w:tcPr>
            <w:tcW w:w="47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148" w14:textId="77777777" w:rsidR="00A619FE" w:rsidRPr="008D5D1B" w:rsidRDefault="00A619FE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Kontinuirano</w:t>
            </w:r>
          </w:p>
        </w:tc>
        <w:tc>
          <w:tcPr>
            <w:tcW w:w="604" w:type="pct"/>
            <w:vMerge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149" w14:textId="77777777" w:rsidR="00A619FE" w:rsidRPr="008D5D1B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2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14A" w14:textId="77777777" w:rsidR="00A619FE" w:rsidRPr="00FF2D05" w:rsidRDefault="00A619FE" w:rsidP="00FF2D05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FF2D05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Broj održanih radionica i broj učenika odnosno studenata koji su sudjelovali na predavanjima. </w:t>
            </w:r>
          </w:p>
          <w:p w14:paraId="6D84114B" w14:textId="77777777" w:rsidR="00A619FE" w:rsidRPr="00FF2D05" w:rsidRDefault="00A619FE" w:rsidP="00FF2D05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14C" w14:textId="77777777" w:rsidR="00A619FE" w:rsidRPr="008D5D1B" w:rsidRDefault="00A619FE" w:rsidP="00FF2D05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FF2D05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Zaključak nakon analize evaluacijskih listića o održanim predavanjima</w:t>
            </w:r>
          </w:p>
        </w:tc>
      </w:tr>
      <w:tr w:rsidR="00A619FE" w:rsidRPr="008D5D1B" w14:paraId="6D841157" w14:textId="77777777" w:rsidTr="0099019C">
        <w:trPr>
          <w:trHeight w:val="797"/>
          <w:jc w:val="center"/>
        </w:trPr>
        <w:tc>
          <w:tcPr>
            <w:tcW w:w="209" w:type="pct"/>
            <w:vMerge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14E" w14:textId="77777777" w:rsidR="00A619FE" w:rsidRPr="008D5D1B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03" w:type="pct"/>
            <w:vMerge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14F" w14:textId="77777777" w:rsidR="00A619FE" w:rsidRPr="008D5D1B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91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150" w14:textId="77777777" w:rsidR="00A619FE" w:rsidRPr="008D5D1B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Informiranje i educiranje učenika srednjih škola i fakulteta na temu financijske pismenosti putem radionica u školama  i edukativnih programa putem Interneta.</w:t>
            </w:r>
          </w:p>
        </w:tc>
        <w:tc>
          <w:tcPr>
            <w:tcW w:w="1169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151" w14:textId="77777777" w:rsidR="00A619FE" w:rsidRPr="008D5D1B" w:rsidRDefault="00A619FE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ŠTEDOPIS</w:t>
            </w:r>
          </w:p>
        </w:tc>
        <w:tc>
          <w:tcPr>
            <w:tcW w:w="47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152" w14:textId="77777777" w:rsidR="00A619FE" w:rsidRPr="008D5D1B" w:rsidRDefault="00A619FE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Kontinuirano</w:t>
            </w:r>
          </w:p>
        </w:tc>
        <w:tc>
          <w:tcPr>
            <w:tcW w:w="604" w:type="pct"/>
            <w:vMerge/>
            <w:vAlign w:val="center"/>
            <w:hideMark/>
          </w:tcPr>
          <w:p w14:paraId="6D841153" w14:textId="77777777" w:rsidR="00A619FE" w:rsidRPr="008D5D1B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25" w:type="pct"/>
            <w:vAlign w:val="center"/>
            <w:hideMark/>
          </w:tcPr>
          <w:p w14:paraId="6D841154" w14:textId="77777777" w:rsidR="00A619FE" w:rsidRPr="008D5D1B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Broj održanih radionica, broj predavanja, broj sudionika.</w:t>
            </w:r>
          </w:p>
          <w:p w14:paraId="6D841155" w14:textId="77777777" w:rsidR="00A619FE" w:rsidRPr="008D5D1B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Zaključak nakon analize evaluacijskih listića o održanim predavanjima. </w:t>
            </w:r>
          </w:p>
          <w:p w14:paraId="6D841156" w14:textId="77777777" w:rsidR="00A619FE" w:rsidRPr="008D5D1B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Broj održanih e</w:t>
            </w: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dukativni</w:t>
            </w: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h programa</w:t>
            </w: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 putem Interneta.</w:t>
            </w:r>
          </w:p>
        </w:tc>
      </w:tr>
      <w:tr w:rsidR="00A619FE" w:rsidRPr="008D5D1B" w14:paraId="6D841169" w14:textId="77777777" w:rsidTr="00D652EE">
        <w:trPr>
          <w:trHeight w:val="2070"/>
          <w:jc w:val="center"/>
        </w:trPr>
        <w:tc>
          <w:tcPr>
            <w:tcW w:w="209" w:type="pct"/>
            <w:vMerge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158" w14:textId="77777777" w:rsidR="00A619FE" w:rsidRPr="008D5D1B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03" w:type="pct"/>
            <w:vMerge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159" w14:textId="77777777" w:rsidR="00A619FE" w:rsidRPr="008D5D1B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915" w:type="pct"/>
            <w:tcBorders>
              <w:bottom w:val="single" w:sz="4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15A" w14:textId="77777777" w:rsidR="00A619FE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Održavanje predavanja za srednjoškolce i studente.</w:t>
            </w:r>
          </w:p>
          <w:p w14:paraId="6D84115B" w14:textId="77777777" w:rsidR="00A619FE" w:rsidRPr="008D5D1B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Edukativna online igra burzovnog trgovanja.</w:t>
            </w:r>
          </w:p>
        </w:tc>
        <w:tc>
          <w:tcPr>
            <w:tcW w:w="1169" w:type="pct"/>
            <w:tcBorders>
              <w:bottom w:val="single" w:sz="4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15C" w14:textId="77777777" w:rsidR="00A619FE" w:rsidRPr="008D5D1B" w:rsidRDefault="00A619FE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15D" w14:textId="77777777" w:rsidR="00A619FE" w:rsidRPr="008D5D1B" w:rsidRDefault="00A619FE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ZSE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vAlign w:val="center"/>
            <w:hideMark/>
          </w:tcPr>
          <w:p w14:paraId="6D84115E" w14:textId="77777777" w:rsidR="00A619FE" w:rsidRPr="008D5D1B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Kontinuirano</w:t>
            </w:r>
          </w:p>
        </w:tc>
        <w:tc>
          <w:tcPr>
            <w:tcW w:w="604" w:type="pct"/>
            <w:vMerge/>
            <w:vAlign w:val="center"/>
            <w:hideMark/>
          </w:tcPr>
          <w:p w14:paraId="6D84115F" w14:textId="77777777" w:rsidR="00A619FE" w:rsidRPr="008D5D1B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25" w:type="pct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6D841160" w14:textId="77777777" w:rsidR="00A619FE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161" w14:textId="77777777" w:rsidR="00322474" w:rsidRDefault="00322474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162" w14:textId="77777777" w:rsidR="00322474" w:rsidRPr="008D5D1B" w:rsidRDefault="00322474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163" w14:textId="77777777" w:rsidR="00A619FE" w:rsidRPr="008D5D1B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Broj održanih predavanja i broj sudionika odnosno polaznika.</w:t>
            </w:r>
          </w:p>
          <w:p w14:paraId="6D841164" w14:textId="77777777" w:rsidR="00A619FE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165" w14:textId="77777777" w:rsidR="00A619FE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166" w14:textId="77777777" w:rsidR="00A619FE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167" w14:textId="77777777" w:rsidR="00A619FE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168" w14:textId="77777777" w:rsidR="00A619FE" w:rsidRPr="008D5D1B" w:rsidRDefault="00A619FE" w:rsidP="00D04DFE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Broj provedenih edukativno-kreativnih radionica i predavanja.</w:t>
            </w:r>
          </w:p>
        </w:tc>
      </w:tr>
      <w:tr w:rsidR="00A619FE" w:rsidRPr="008D5D1B" w14:paraId="6D841174" w14:textId="77777777" w:rsidTr="0099019C">
        <w:trPr>
          <w:trHeight w:val="1183"/>
          <w:jc w:val="center"/>
        </w:trPr>
        <w:tc>
          <w:tcPr>
            <w:tcW w:w="209" w:type="pct"/>
            <w:vMerge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16A" w14:textId="77777777" w:rsidR="00A619FE" w:rsidRPr="008D5D1B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03" w:type="pct"/>
            <w:vMerge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16B" w14:textId="77777777" w:rsidR="00A619FE" w:rsidRPr="008D5D1B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91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16C" w14:textId="77777777" w:rsidR="00A619FE" w:rsidRPr="008D5D1B" w:rsidRDefault="00A619FE" w:rsidP="00BA2340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Provođenje</w:t>
            </w: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 edukativno kreativn</w:t>
            </w: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ih radionica i predavanja za učenike i studente.</w:t>
            </w: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169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16D" w14:textId="77777777" w:rsidR="00A619FE" w:rsidRPr="008D5D1B" w:rsidRDefault="00A619FE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HUO</w:t>
            </w:r>
          </w:p>
        </w:tc>
        <w:tc>
          <w:tcPr>
            <w:tcW w:w="47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16E" w14:textId="77777777" w:rsidR="00A619FE" w:rsidRPr="008D5D1B" w:rsidRDefault="00A619FE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16F" w14:textId="77777777" w:rsidR="00A619FE" w:rsidRPr="008D5D1B" w:rsidRDefault="00A619FE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170" w14:textId="77777777" w:rsidR="00A619FE" w:rsidRPr="008D5D1B" w:rsidRDefault="00A619FE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I. i II. kvartal</w:t>
            </w:r>
          </w:p>
          <w:p w14:paraId="6D841171" w14:textId="77777777" w:rsidR="00A619FE" w:rsidRPr="008D5D1B" w:rsidRDefault="00A619FE" w:rsidP="002E6603">
            <w:pPr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14:paraId="6D841172" w14:textId="77777777" w:rsidR="00A619FE" w:rsidRPr="008D5D1B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25" w:type="pct"/>
            <w:vMerge/>
            <w:vAlign w:val="center"/>
            <w:hideMark/>
          </w:tcPr>
          <w:p w14:paraId="6D841173" w14:textId="77777777" w:rsidR="00A619FE" w:rsidRPr="008D5D1B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</w:tr>
      <w:tr w:rsidR="00A619FE" w:rsidRPr="008D5D1B" w14:paraId="6D84117F" w14:textId="77777777" w:rsidTr="0099019C">
        <w:trPr>
          <w:jc w:val="center"/>
        </w:trPr>
        <w:tc>
          <w:tcPr>
            <w:tcW w:w="209" w:type="pct"/>
            <w:vMerge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175" w14:textId="77777777" w:rsidR="00A619FE" w:rsidRPr="008D5D1B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03" w:type="pct"/>
            <w:vMerge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176" w14:textId="77777777" w:rsidR="00A619FE" w:rsidRPr="008D5D1B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91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177" w14:textId="77777777" w:rsidR="00A619FE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178" w14:textId="77777777" w:rsidR="00A619FE" w:rsidRPr="008D5D1B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Održavanje</w:t>
            </w: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 edukativnih radionica i predavanja za učenike i studente pri čemu se sadržaj izlaganja usklađuje s pojedinačnim zahtjevima.</w:t>
            </w:r>
          </w:p>
        </w:tc>
        <w:tc>
          <w:tcPr>
            <w:tcW w:w="1169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179" w14:textId="77777777" w:rsidR="00A619FE" w:rsidRPr="008D5D1B" w:rsidRDefault="00A619FE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HNB</w:t>
            </w:r>
          </w:p>
        </w:tc>
        <w:tc>
          <w:tcPr>
            <w:tcW w:w="47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17A" w14:textId="77777777" w:rsidR="00A619FE" w:rsidRPr="008D5D1B" w:rsidRDefault="00A619FE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Kontinuirano</w:t>
            </w:r>
          </w:p>
        </w:tc>
        <w:tc>
          <w:tcPr>
            <w:tcW w:w="604" w:type="pct"/>
            <w:vMerge/>
            <w:vAlign w:val="center"/>
            <w:hideMark/>
          </w:tcPr>
          <w:p w14:paraId="6D84117B" w14:textId="77777777" w:rsidR="00A619FE" w:rsidRPr="008D5D1B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2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17C" w14:textId="77777777" w:rsidR="00A619FE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17D" w14:textId="77777777" w:rsidR="00A619FE" w:rsidRPr="008D5D1B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Broj</w:t>
            </w: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 održanih događanja, predavanja </w:t>
            </w: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i broj sudionika odnosno polaznika.</w:t>
            </w:r>
          </w:p>
          <w:p w14:paraId="6D84117E" w14:textId="77777777" w:rsidR="00A619FE" w:rsidRPr="008D5D1B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</w:tr>
      <w:tr w:rsidR="00A619FE" w:rsidRPr="008D5D1B" w14:paraId="6D841188" w14:textId="77777777" w:rsidTr="0099019C">
        <w:trPr>
          <w:jc w:val="center"/>
        </w:trPr>
        <w:tc>
          <w:tcPr>
            <w:tcW w:w="209" w:type="pct"/>
            <w:vMerge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180" w14:textId="77777777" w:rsidR="00A619FE" w:rsidRPr="008D5D1B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03" w:type="pct"/>
            <w:vMerge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181" w14:textId="77777777" w:rsidR="00A619FE" w:rsidRPr="008D5D1B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91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182" w14:textId="77777777" w:rsidR="00A619FE" w:rsidRPr="008D5D1B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Održavanje e</w:t>
            </w: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dukativni</w:t>
            </w: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h</w:t>
            </w: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 kvizov</w:t>
            </w: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a</w:t>
            </w: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 znanja putem Interneta.</w:t>
            </w:r>
          </w:p>
          <w:p w14:paraId="6D841183" w14:textId="77777777" w:rsidR="00A619FE" w:rsidRPr="008D5D1B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1169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184" w14:textId="77777777" w:rsidR="00A619FE" w:rsidRPr="008D5D1B" w:rsidRDefault="00A619FE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ŠTEDOPIS</w:t>
            </w:r>
          </w:p>
        </w:tc>
        <w:tc>
          <w:tcPr>
            <w:tcW w:w="47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185" w14:textId="77777777" w:rsidR="00A619FE" w:rsidRPr="008D5D1B" w:rsidRDefault="00A619FE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Kontinuirano</w:t>
            </w:r>
          </w:p>
        </w:tc>
        <w:tc>
          <w:tcPr>
            <w:tcW w:w="604" w:type="pct"/>
            <w:vMerge/>
            <w:vAlign w:val="center"/>
            <w:hideMark/>
          </w:tcPr>
          <w:p w14:paraId="6D841186" w14:textId="77777777" w:rsidR="00A619FE" w:rsidRPr="008D5D1B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2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187" w14:textId="77777777" w:rsidR="00A619FE" w:rsidRPr="008D5D1B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Broj održanih kvizova i broj prijavljenih timova.</w:t>
            </w:r>
          </w:p>
        </w:tc>
      </w:tr>
      <w:tr w:rsidR="00A619FE" w:rsidRPr="008D5D1B" w14:paraId="6D8411A1" w14:textId="77777777" w:rsidTr="0099019C">
        <w:trPr>
          <w:jc w:val="center"/>
        </w:trPr>
        <w:tc>
          <w:tcPr>
            <w:tcW w:w="209" w:type="pct"/>
            <w:vMerge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189" w14:textId="77777777" w:rsidR="00A619FE" w:rsidRPr="008D5D1B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03" w:type="pct"/>
            <w:vMerge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18A" w14:textId="77777777" w:rsidR="00A619FE" w:rsidRPr="008D5D1B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91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18B" w14:textId="77777777" w:rsidR="00A619FE" w:rsidRPr="008D5D1B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Provođenje p</w:t>
            </w: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rojekt</w:t>
            </w: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a</w:t>
            </w: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 „Više znamo, bolje razumijemo“ za učenike i nastavnike srednjih škola u Zagrebu</w:t>
            </w:r>
          </w:p>
        </w:tc>
        <w:tc>
          <w:tcPr>
            <w:tcW w:w="1169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18C" w14:textId="77777777" w:rsidR="00A619FE" w:rsidRPr="008D5D1B" w:rsidRDefault="00A619FE" w:rsidP="002E6603">
            <w:pPr>
              <w:spacing w:after="0" w:line="336" w:lineRule="atLeast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HGK</w:t>
            </w:r>
          </w:p>
        </w:tc>
        <w:tc>
          <w:tcPr>
            <w:tcW w:w="47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18D" w14:textId="77777777" w:rsidR="00A619FE" w:rsidRPr="008D5D1B" w:rsidRDefault="00A619FE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I. kvartal</w:t>
            </w:r>
          </w:p>
        </w:tc>
        <w:tc>
          <w:tcPr>
            <w:tcW w:w="604" w:type="pct"/>
            <w:vMerge/>
            <w:vAlign w:val="center"/>
          </w:tcPr>
          <w:p w14:paraId="6D84118E" w14:textId="77777777" w:rsidR="00A619FE" w:rsidRPr="008D5D1B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2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18F" w14:textId="77777777" w:rsidR="009A5226" w:rsidRDefault="009A5226" w:rsidP="00DC07DC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Provedena edukacija u pet zagrebačkih srednjih škola.</w:t>
            </w:r>
          </w:p>
          <w:p w14:paraId="6D841190" w14:textId="77777777" w:rsidR="009A5226" w:rsidRDefault="009A5226" w:rsidP="00DC07DC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191" w14:textId="77777777" w:rsidR="00DC07DC" w:rsidRPr="00DC07DC" w:rsidRDefault="009A5226" w:rsidP="00DC07DC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*</w:t>
            </w:r>
            <w:r w:rsidR="00DC07DC" w:rsidRPr="00DC07DC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Edukacije se provode od 20.02. do 15.03.2019. na način da </w:t>
            </w:r>
            <w:r w:rsidR="00DC07DC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se u svakoj školi </w:t>
            </w:r>
            <w:r w:rsidR="00DC07DC" w:rsidRPr="00DC07DC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o</w:t>
            </w:r>
            <w:r w:rsidR="00DC07DC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državaju</w:t>
            </w:r>
            <w:r w:rsidR="00DC07DC" w:rsidRPr="00DC07DC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 dva bloka predavanja za učenike (sudjeluju isti učenici u oba bloka) i jedan za nastavnike:</w:t>
            </w:r>
          </w:p>
          <w:p w14:paraId="6D841192" w14:textId="77777777" w:rsidR="00DC07DC" w:rsidRPr="00DC07DC" w:rsidRDefault="00DC07DC" w:rsidP="00DC07DC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DC07DC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1.    Elektrostrojarska obrtnička škola:</w:t>
            </w:r>
          </w:p>
          <w:p w14:paraId="6D841193" w14:textId="77777777" w:rsidR="00DC07DC" w:rsidRPr="00DC07DC" w:rsidRDefault="00DC07DC" w:rsidP="00DC07DC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DC07DC">
              <w:rPr>
                <w:rFonts w:ascii="Arial Narrow" w:eastAsia="Times New Roman" w:hAnsi="Arial Narrow" w:cs="Times New Roman"/>
                <w:b/>
                <w:bCs/>
                <w:color w:val="666666"/>
                <w:sz w:val="20"/>
                <w:szCs w:val="20"/>
                <w:lang w:eastAsia="hr-HR"/>
              </w:rPr>
              <w:t>a.    20.02.2019.: 35 učenika i 43 nastavnika</w:t>
            </w:r>
          </w:p>
          <w:p w14:paraId="6D841194" w14:textId="77777777" w:rsidR="00DC07DC" w:rsidRPr="00DC07DC" w:rsidRDefault="00DC07DC" w:rsidP="00DC07DC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DC07DC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b.    06.03.2019.: 35 učenika</w:t>
            </w:r>
          </w:p>
          <w:p w14:paraId="6D841195" w14:textId="77777777" w:rsidR="00DC07DC" w:rsidRPr="00DC07DC" w:rsidRDefault="00DC07DC" w:rsidP="00DC07DC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DC07DC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2.    Škola za modu i dizajn:</w:t>
            </w:r>
          </w:p>
          <w:p w14:paraId="6D841196" w14:textId="77777777" w:rsidR="00DC07DC" w:rsidRPr="00DC07DC" w:rsidRDefault="00DC07DC" w:rsidP="00DC07DC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DC07DC">
              <w:rPr>
                <w:rFonts w:ascii="Arial Narrow" w:eastAsia="Times New Roman" w:hAnsi="Arial Narrow" w:cs="Times New Roman"/>
                <w:b/>
                <w:bCs/>
                <w:color w:val="666666"/>
                <w:sz w:val="20"/>
                <w:szCs w:val="20"/>
                <w:lang w:eastAsia="hr-HR"/>
              </w:rPr>
              <w:t>a.    25.02.2019.: 42 učenika</w:t>
            </w:r>
          </w:p>
          <w:p w14:paraId="6D841197" w14:textId="77777777" w:rsidR="00DC07DC" w:rsidRPr="00DC07DC" w:rsidRDefault="00DC07DC" w:rsidP="00DC07DC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DC07DC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b.    11.03</w:t>
            </w: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.2019. 42 učenika </w:t>
            </w:r>
          </w:p>
          <w:p w14:paraId="6D841198" w14:textId="77777777" w:rsidR="00DC07DC" w:rsidRPr="00DC07DC" w:rsidRDefault="00DC07DC" w:rsidP="00DC07DC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DC07DC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3.    Prva ekonomska škola:</w:t>
            </w:r>
          </w:p>
          <w:p w14:paraId="6D841199" w14:textId="77777777" w:rsidR="00DC07DC" w:rsidRPr="00DC07DC" w:rsidRDefault="00DC07DC" w:rsidP="00DC07DC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DC07DC">
              <w:rPr>
                <w:rFonts w:ascii="Arial Narrow" w:eastAsia="Times New Roman" w:hAnsi="Arial Narrow" w:cs="Times New Roman"/>
                <w:b/>
                <w:bCs/>
                <w:color w:val="666666"/>
                <w:sz w:val="20"/>
                <w:szCs w:val="20"/>
                <w:lang w:eastAsia="hr-HR"/>
              </w:rPr>
              <w:t>a.    27.02.2019.: 28 učenika</w:t>
            </w:r>
          </w:p>
          <w:p w14:paraId="6D84119A" w14:textId="77777777" w:rsidR="00DC07DC" w:rsidRPr="00DC07DC" w:rsidRDefault="00DC07DC" w:rsidP="00DC07DC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DC07DC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b.    15.03.2019.: 28 učenika</w:t>
            </w:r>
          </w:p>
          <w:p w14:paraId="6D84119B" w14:textId="77777777" w:rsidR="00DC07DC" w:rsidRPr="00DC07DC" w:rsidRDefault="00DC07DC" w:rsidP="00DC07DC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DC07DC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4.    III Gimnazija Kušlanova.</w:t>
            </w:r>
          </w:p>
          <w:p w14:paraId="6D84119C" w14:textId="77777777" w:rsidR="00DC07DC" w:rsidRPr="00DC07DC" w:rsidRDefault="00DC07DC" w:rsidP="00DC07DC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DC07DC">
              <w:rPr>
                <w:rFonts w:ascii="Arial Narrow" w:eastAsia="Times New Roman" w:hAnsi="Arial Narrow" w:cs="Times New Roman"/>
                <w:b/>
                <w:bCs/>
                <w:color w:val="666666"/>
                <w:sz w:val="20"/>
                <w:szCs w:val="20"/>
                <w:lang w:eastAsia="hr-HR"/>
              </w:rPr>
              <w:t>a.    01.03.2019.: 30 učenika</w:t>
            </w:r>
          </w:p>
          <w:p w14:paraId="6D84119D" w14:textId="77777777" w:rsidR="00DC07DC" w:rsidRPr="00DC07DC" w:rsidRDefault="00DC07DC" w:rsidP="00DC07DC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DC07DC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b.    15.03.</w:t>
            </w: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2019.: 30 učenika </w:t>
            </w:r>
          </w:p>
          <w:p w14:paraId="6D84119E" w14:textId="77777777" w:rsidR="00DC07DC" w:rsidRPr="00DC07DC" w:rsidRDefault="00DC07DC" w:rsidP="00DC07DC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DC07DC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5.    Klasična gimnazija Križanićeva:</w:t>
            </w:r>
          </w:p>
          <w:p w14:paraId="6D84119F" w14:textId="77777777" w:rsidR="00DC07DC" w:rsidRPr="00DC07DC" w:rsidRDefault="00DC07DC" w:rsidP="00DC07DC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DC07DC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a.    06.03.2019.: 35 učenika</w:t>
            </w:r>
          </w:p>
          <w:p w14:paraId="6D8411A0" w14:textId="77777777" w:rsidR="00A619FE" w:rsidRPr="008D5D1B" w:rsidRDefault="00DC07DC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DC07DC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b.    08.03.</w:t>
            </w: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2019.: 35 učenika.</w:t>
            </w:r>
          </w:p>
        </w:tc>
      </w:tr>
      <w:tr w:rsidR="00A619FE" w:rsidRPr="008D5D1B" w14:paraId="6D8411AA" w14:textId="77777777" w:rsidTr="0099019C">
        <w:trPr>
          <w:jc w:val="center"/>
        </w:trPr>
        <w:tc>
          <w:tcPr>
            <w:tcW w:w="209" w:type="pct"/>
            <w:vMerge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1A2" w14:textId="77777777" w:rsidR="00A619FE" w:rsidRPr="008D5D1B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03" w:type="pct"/>
            <w:vMerge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1A3" w14:textId="77777777" w:rsidR="00A619FE" w:rsidRPr="008D5D1B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91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1A4" w14:textId="77777777" w:rsidR="00A619FE" w:rsidRPr="008D5D1B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Održavanje</w:t>
            </w: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 konferencije »Dan hrvatskih financijskih institucija«.</w:t>
            </w:r>
          </w:p>
        </w:tc>
        <w:tc>
          <w:tcPr>
            <w:tcW w:w="1169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1A5" w14:textId="77777777" w:rsidR="00A619FE" w:rsidRPr="008D5D1B" w:rsidRDefault="00A619FE" w:rsidP="002E6603">
            <w:pPr>
              <w:spacing w:after="0" w:line="336" w:lineRule="atLeast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HGK</w:t>
            </w:r>
          </w:p>
          <w:p w14:paraId="6D8411A6" w14:textId="77777777" w:rsidR="00A619FE" w:rsidRPr="008D5D1B" w:rsidRDefault="00A619FE" w:rsidP="002E6603">
            <w:pPr>
              <w:spacing w:after="0" w:line="336" w:lineRule="atLeast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EFZG</w:t>
            </w:r>
          </w:p>
        </w:tc>
        <w:tc>
          <w:tcPr>
            <w:tcW w:w="47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1A7" w14:textId="77777777" w:rsidR="00A619FE" w:rsidRPr="008D5D1B" w:rsidRDefault="00A619FE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IV. kvartal</w:t>
            </w:r>
          </w:p>
        </w:tc>
        <w:tc>
          <w:tcPr>
            <w:tcW w:w="604" w:type="pct"/>
            <w:vMerge/>
            <w:vAlign w:val="center"/>
            <w:hideMark/>
          </w:tcPr>
          <w:p w14:paraId="6D8411A8" w14:textId="77777777" w:rsidR="00A619FE" w:rsidRPr="008D5D1B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2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1A9" w14:textId="77777777" w:rsidR="00A619FE" w:rsidRPr="008D5D1B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Održana Konferencija u Zagrebu</w:t>
            </w:r>
          </w:p>
        </w:tc>
      </w:tr>
      <w:tr w:rsidR="00A619FE" w:rsidRPr="008D5D1B" w14:paraId="6D8411B2" w14:textId="77777777" w:rsidTr="0099019C">
        <w:trPr>
          <w:jc w:val="center"/>
        </w:trPr>
        <w:tc>
          <w:tcPr>
            <w:tcW w:w="209" w:type="pct"/>
            <w:vMerge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1AB" w14:textId="77777777" w:rsidR="00A619FE" w:rsidRPr="008D5D1B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03" w:type="pct"/>
            <w:vMerge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1AC" w14:textId="77777777" w:rsidR="00A619FE" w:rsidRPr="008D5D1B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91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1AD" w14:textId="77777777" w:rsidR="00A619FE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Predstavljanja namijenjena studentima u području financijske pismenosti, radionice za učenike osnovnih i srednjih  škola na temu financijske pismenosti i odgovorne potrošnje, radionice za profesore osnovnih i srednjih škola o važnosti i načinima podučavanja financijske pismenosti, program certificiranja edukatora u području financijske pismenosti.</w:t>
            </w:r>
          </w:p>
        </w:tc>
        <w:tc>
          <w:tcPr>
            <w:tcW w:w="1169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1AE" w14:textId="77777777" w:rsidR="00A619FE" w:rsidRPr="008D5D1B" w:rsidRDefault="00A619FE" w:rsidP="002E6603">
            <w:pPr>
              <w:spacing w:after="0" w:line="336" w:lineRule="atLeast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EFZG</w:t>
            </w:r>
          </w:p>
        </w:tc>
        <w:tc>
          <w:tcPr>
            <w:tcW w:w="47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1AF" w14:textId="77777777" w:rsidR="00A619FE" w:rsidRPr="008D5D1B" w:rsidRDefault="00A619FE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Kontinuirano</w:t>
            </w:r>
          </w:p>
        </w:tc>
        <w:tc>
          <w:tcPr>
            <w:tcW w:w="604" w:type="pct"/>
            <w:vMerge/>
            <w:vAlign w:val="center"/>
          </w:tcPr>
          <w:p w14:paraId="6D8411B0" w14:textId="77777777" w:rsidR="00A619FE" w:rsidRPr="008D5D1B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2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1B1" w14:textId="77777777" w:rsidR="00A619FE" w:rsidRPr="008D5D1B" w:rsidRDefault="00A619FE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Broj održanih radionica,predstavljanja i programa te broj sudionika na predstavljanjima i radionicama i broj izdanih certifikata.</w:t>
            </w:r>
          </w:p>
        </w:tc>
      </w:tr>
      <w:tr w:rsidR="00C24CD5" w:rsidRPr="008D5D1B" w14:paraId="6D8411BC" w14:textId="77777777" w:rsidTr="0099019C">
        <w:trPr>
          <w:jc w:val="center"/>
        </w:trPr>
        <w:tc>
          <w:tcPr>
            <w:tcW w:w="209" w:type="pct"/>
            <w:vMerge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1B3" w14:textId="77777777" w:rsidR="00C24CD5" w:rsidRPr="008D5D1B" w:rsidRDefault="00C24CD5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03" w:type="pct"/>
            <w:vMerge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1B4" w14:textId="77777777" w:rsidR="00C24CD5" w:rsidRPr="008D5D1B" w:rsidRDefault="00C24CD5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91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1B5" w14:textId="77777777" w:rsidR="00C24CD5" w:rsidRDefault="00C24CD5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Nastavak provedbe Ciklusa stručnih edukacija za udruge za zaštitu potrošača.</w:t>
            </w:r>
          </w:p>
        </w:tc>
        <w:tc>
          <w:tcPr>
            <w:tcW w:w="1169" w:type="pct"/>
            <w:vMerge w:val="restar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1B6" w14:textId="77777777" w:rsidR="00C24CD5" w:rsidRDefault="00C24CD5" w:rsidP="00C24CD5">
            <w:pPr>
              <w:spacing w:after="0" w:line="336" w:lineRule="atLeast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MINGPO</w:t>
            </w:r>
          </w:p>
        </w:tc>
        <w:tc>
          <w:tcPr>
            <w:tcW w:w="475" w:type="pct"/>
            <w:vMerge w:val="restar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1B7" w14:textId="77777777" w:rsidR="00C24CD5" w:rsidRDefault="00C24CD5" w:rsidP="00C24C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Kontinuirano</w:t>
            </w:r>
          </w:p>
        </w:tc>
        <w:tc>
          <w:tcPr>
            <w:tcW w:w="604" w:type="pct"/>
            <w:vMerge w:val="restart"/>
            <w:vAlign w:val="center"/>
          </w:tcPr>
          <w:p w14:paraId="6D8411B8" w14:textId="77777777" w:rsidR="00C24CD5" w:rsidRDefault="00C24CD5" w:rsidP="00C24C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1B9" w14:textId="77777777" w:rsidR="00C24CD5" w:rsidRPr="00C24CD5" w:rsidRDefault="00C24CD5" w:rsidP="00C24C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C24CD5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MINGPO – državni proračun</w:t>
            </w:r>
          </w:p>
          <w:p w14:paraId="6D8411BA" w14:textId="77777777" w:rsidR="00C24CD5" w:rsidRDefault="00C24CD5" w:rsidP="00C24C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2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1BB" w14:textId="77777777" w:rsidR="00C24CD5" w:rsidRDefault="00C24CD5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Broj održanih edukacija, broj sudionika.</w:t>
            </w:r>
          </w:p>
        </w:tc>
      </w:tr>
      <w:tr w:rsidR="00C24CD5" w:rsidRPr="008D5D1B" w14:paraId="6D8411C4" w14:textId="77777777" w:rsidTr="0099019C">
        <w:trPr>
          <w:jc w:val="center"/>
        </w:trPr>
        <w:tc>
          <w:tcPr>
            <w:tcW w:w="209" w:type="pct"/>
            <w:vMerge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1BD" w14:textId="77777777" w:rsidR="00C24CD5" w:rsidRPr="008D5D1B" w:rsidRDefault="00C24CD5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03" w:type="pct"/>
            <w:vMerge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1BE" w14:textId="77777777" w:rsidR="00C24CD5" w:rsidRPr="008D5D1B" w:rsidRDefault="00C24CD5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91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1BF" w14:textId="77777777" w:rsidR="00C24CD5" w:rsidRDefault="00C24CD5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Provedba projekata informiranja i edukacije </w:t>
            </w:r>
          </w:p>
        </w:tc>
        <w:tc>
          <w:tcPr>
            <w:tcW w:w="1169" w:type="pct"/>
            <w:vMerge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1C0" w14:textId="77777777" w:rsidR="00C24CD5" w:rsidRDefault="00C24CD5" w:rsidP="002E6603">
            <w:pPr>
              <w:spacing w:after="0" w:line="336" w:lineRule="atLeast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475" w:type="pct"/>
            <w:vMerge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1C1" w14:textId="77777777" w:rsidR="00C24CD5" w:rsidRDefault="00C24CD5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604" w:type="pct"/>
            <w:vMerge/>
            <w:vAlign w:val="center"/>
          </w:tcPr>
          <w:p w14:paraId="6D8411C2" w14:textId="77777777" w:rsidR="00C24CD5" w:rsidRDefault="00C24CD5" w:rsidP="00D64C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2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1C3" w14:textId="77777777" w:rsidR="00C24CD5" w:rsidRDefault="00C24CD5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Broj provedenih projekata.</w:t>
            </w:r>
          </w:p>
        </w:tc>
      </w:tr>
      <w:tr w:rsidR="0099019C" w:rsidRPr="008D5D1B" w14:paraId="6D8411DB" w14:textId="77777777" w:rsidTr="0099019C">
        <w:trPr>
          <w:trHeight w:val="477"/>
          <w:jc w:val="center"/>
        </w:trPr>
        <w:tc>
          <w:tcPr>
            <w:tcW w:w="209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1C5" w14:textId="77777777" w:rsidR="0099019C" w:rsidRPr="008D5D1B" w:rsidRDefault="0099019C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  </w:t>
            </w: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803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1C6" w14:textId="77777777" w:rsidR="0099019C" w:rsidRPr="008D5D1B" w:rsidRDefault="0099019C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Provedba p</w:t>
            </w:r>
            <w:r w:rsidRPr="0006515A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rojekta „</w:t>
            </w:r>
            <w:r w:rsidRPr="0006515A">
              <w:rPr>
                <w:rFonts w:ascii="Arial Narrow" w:eastAsia="Times New Roman" w:hAnsi="Arial Narrow" w:cs="Times New Roman"/>
                <w:i/>
                <w:color w:val="666666"/>
                <w:sz w:val="20"/>
                <w:szCs w:val="20"/>
                <w:lang w:eastAsia="hr-HR"/>
              </w:rPr>
              <w:t>Središnji portal za potrošače“.</w:t>
            </w:r>
          </w:p>
        </w:tc>
        <w:tc>
          <w:tcPr>
            <w:tcW w:w="91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1C7" w14:textId="77777777" w:rsidR="0099019C" w:rsidRPr="00651F8F" w:rsidRDefault="00C24CD5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Uspostavljanje </w:t>
            </w:r>
            <w:r w:rsidR="0099019C"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„</w:t>
            </w:r>
            <w:r w:rsidR="0099019C">
              <w:rPr>
                <w:rFonts w:ascii="Arial Narrow" w:eastAsia="Times New Roman" w:hAnsi="Arial Narrow" w:cs="Times New Roman"/>
                <w:i/>
                <w:color w:val="666666"/>
                <w:sz w:val="20"/>
                <w:szCs w:val="20"/>
                <w:lang w:eastAsia="hr-HR"/>
              </w:rPr>
              <w:t>Središnj</w:t>
            </w:r>
            <w:r>
              <w:rPr>
                <w:rFonts w:ascii="Arial Narrow" w:eastAsia="Times New Roman" w:hAnsi="Arial Narrow" w:cs="Times New Roman"/>
                <w:i/>
                <w:color w:val="666666"/>
                <w:sz w:val="20"/>
                <w:szCs w:val="20"/>
                <w:lang w:eastAsia="hr-HR"/>
              </w:rPr>
              <w:t>eg</w:t>
            </w:r>
            <w:r w:rsidR="0099019C">
              <w:rPr>
                <w:rFonts w:ascii="Arial Narrow" w:eastAsia="Times New Roman" w:hAnsi="Arial Narrow" w:cs="Times New Roman"/>
                <w:i/>
                <w:color w:val="666666"/>
                <w:sz w:val="20"/>
                <w:szCs w:val="20"/>
                <w:lang w:eastAsia="hr-HR"/>
              </w:rPr>
              <w:t xml:space="preserve"> portal</w:t>
            </w:r>
            <w:r>
              <w:rPr>
                <w:rFonts w:ascii="Arial Narrow" w:eastAsia="Times New Roman" w:hAnsi="Arial Narrow" w:cs="Times New Roman"/>
                <w:i/>
                <w:color w:val="666666"/>
                <w:sz w:val="20"/>
                <w:szCs w:val="20"/>
                <w:lang w:eastAsia="hr-HR"/>
              </w:rPr>
              <w:t>a</w:t>
            </w:r>
            <w:r w:rsidR="0099019C">
              <w:rPr>
                <w:rFonts w:ascii="Arial Narrow" w:eastAsia="Times New Roman" w:hAnsi="Arial Narrow" w:cs="Times New Roman"/>
                <w:i/>
                <w:color w:val="666666"/>
                <w:sz w:val="20"/>
                <w:szCs w:val="20"/>
                <w:lang w:eastAsia="hr-HR"/>
              </w:rPr>
              <w:t xml:space="preserve"> za potrošače“</w:t>
            </w: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 u prvoj polovici 2019. godine kako bi se građanima omogućila transparentna i sveobuhvatna informiranost te kako bi se potrebne informacije iz svih područja politike zaštite potrošača objedinile i pružile na centralnom mjestu.</w:t>
            </w:r>
          </w:p>
        </w:tc>
        <w:tc>
          <w:tcPr>
            <w:tcW w:w="1169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1C8" w14:textId="77777777" w:rsidR="0099019C" w:rsidRPr="008D5D1B" w:rsidRDefault="0099019C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1C9" w14:textId="77777777" w:rsidR="0099019C" w:rsidRPr="008D5D1B" w:rsidRDefault="0099019C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1CA" w14:textId="77777777" w:rsidR="0099019C" w:rsidRPr="008D5D1B" w:rsidRDefault="0099019C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MINGPO</w:t>
            </w:r>
          </w:p>
          <w:p w14:paraId="6D8411CB" w14:textId="77777777" w:rsidR="0099019C" w:rsidRPr="008D5D1B" w:rsidRDefault="0099019C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1CC" w14:textId="77777777" w:rsidR="0099019C" w:rsidRPr="008D5D1B" w:rsidRDefault="0099019C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1CD" w14:textId="77777777" w:rsidR="0099019C" w:rsidRPr="008D5D1B" w:rsidRDefault="0099019C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47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1CE" w14:textId="77777777" w:rsidR="0099019C" w:rsidRPr="008D5D1B" w:rsidRDefault="0099019C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1CF" w14:textId="77777777" w:rsidR="0099019C" w:rsidRPr="008D5D1B" w:rsidRDefault="0099019C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Kontinuirano</w:t>
            </w:r>
          </w:p>
          <w:p w14:paraId="6D8411D0" w14:textId="77777777" w:rsidR="0099019C" w:rsidRPr="008D5D1B" w:rsidRDefault="0099019C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604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1D1" w14:textId="77777777" w:rsidR="0099019C" w:rsidRPr="008D5D1B" w:rsidRDefault="0099019C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1D2" w14:textId="77777777" w:rsidR="0099019C" w:rsidRDefault="0099019C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1D3" w14:textId="77777777" w:rsidR="00C24CD5" w:rsidRDefault="00C24CD5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1D4" w14:textId="77777777" w:rsidR="0099019C" w:rsidRDefault="0099019C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1D5" w14:textId="77777777" w:rsidR="0099019C" w:rsidRPr="008D5D1B" w:rsidRDefault="0099019C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MINGPO – državni proračun</w:t>
            </w:r>
          </w:p>
          <w:p w14:paraId="6D8411D6" w14:textId="77777777" w:rsidR="0099019C" w:rsidRPr="008D5D1B" w:rsidRDefault="0099019C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1D7" w14:textId="77777777" w:rsidR="0099019C" w:rsidRPr="008D5D1B" w:rsidRDefault="0099019C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1D8" w14:textId="77777777" w:rsidR="0099019C" w:rsidRPr="008D5D1B" w:rsidRDefault="0099019C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1D9" w14:textId="77777777" w:rsidR="0099019C" w:rsidRPr="008D5D1B" w:rsidRDefault="0099019C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2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1DA" w14:textId="77777777" w:rsidR="0099019C" w:rsidRPr="008D5D1B" w:rsidRDefault="00074B35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Broj posjeta mrežnoj stranici.</w:t>
            </w:r>
          </w:p>
        </w:tc>
      </w:tr>
      <w:tr w:rsidR="0099019C" w:rsidRPr="008D5D1B" w14:paraId="6D841216" w14:textId="77777777" w:rsidTr="0099019C">
        <w:trPr>
          <w:jc w:val="center"/>
        </w:trPr>
        <w:tc>
          <w:tcPr>
            <w:tcW w:w="209" w:type="pct"/>
            <w:vMerge w:val="restar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1DC" w14:textId="77777777" w:rsidR="0099019C" w:rsidRDefault="0099019C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1DD" w14:textId="77777777" w:rsidR="00F31D43" w:rsidRDefault="00F31D43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1DE" w14:textId="77777777" w:rsidR="00F31D43" w:rsidRDefault="00F31D43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1DF" w14:textId="77777777" w:rsidR="00F31D43" w:rsidRDefault="00F31D43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1E0" w14:textId="77777777" w:rsidR="00F31D43" w:rsidRDefault="00F31D43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1E1" w14:textId="77777777" w:rsidR="0099019C" w:rsidRPr="008D5D1B" w:rsidRDefault="0099019C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5.</w:t>
            </w:r>
          </w:p>
          <w:p w14:paraId="6D8411E2" w14:textId="77777777" w:rsidR="0099019C" w:rsidRPr="008D5D1B" w:rsidRDefault="0099019C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1E3" w14:textId="77777777" w:rsidR="0099019C" w:rsidRPr="008D5D1B" w:rsidRDefault="0099019C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1E4" w14:textId="77777777" w:rsidR="0099019C" w:rsidRPr="008D5D1B" w:rsidRDefault="0099019C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1E5" w14:textId="77777777" w:rsidR="0099019C" w:rsidRPr="008D5D1B" w:rsidRDefault="0099019C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1E6" w14:textId="77777777" w:rsidR="0099019C" w:rsidRPr="008D5D1B" w:rsidRDefault="0099019C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1E7" w14:textId="77777777" w:rsidR="0099019C" w:rsidRPr="008D5D1B" w:rsidRDefault="0099019C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1E8" w14:textId="77777777" w:rsidR="0099019C" w:rsidRPr="008D5D1B" w:rsidRDefault="0099019C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1E9" w14:textId="77777777" w:rsidR="0099019C" w:rsidRPr="008D5D1B" w:rsidRDefault="0099019C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1EA" w14:textId="77777777" w:rsidR="0099019C" w:rsidRPr="008D5D1B" w:rsidRDefault="0099019C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1EB" w14:textId="77777777" w:rsidR="0099019C" w:rsidRPr="008D5D1B" w:rsidRDefault="0099019C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1EC" w14:textId="77777777" w:rsidR="0099019C" w:rsidRPr="008D5D1B" w:rsidRDefault="0099019C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1ED" w14:textId="77777777" w:rsidR="0099019C" w:rsidRPr="008D5D1B" w:rsidRDefault="0099019C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1EE" w14:textId="77777777" w:rsidR="0099019C" w:rsidRPr="008D5D1B" w:rsidRDefault="0099019C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1EF" w14:textId="77777777" w:rsidR="0099019C" w:rsidRPr="008D5D1B" w:rsidRDefault="0099019C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1F0" w14:textId="77777777" w:rsidR="0099019C" w:rsidRPr="008D5D1B" w:rsidRDefault="0099019C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1F1" w14:textId="77777777" w:rsidR="0099019C" w:rsidRPr="008D5D1B" w:rsidRDefault="0099019C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1F2" w14:textId="77777777" w:rsidR="0099019C" w:rsidRPr="008D5D1B" w:rsidRDefault="0099019C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1F3" w14:textId="77777777" w:rsidR="0099019C" w:rsidRPr="008D5D1B" w:rsidRDefault="0099019C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1F4" w14:textId="77777777" w:rsidR="0099019C" w:rsidRPr="008D5D1B" w:rsidRDefault="0099019C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1F5" w14:textId="77777777" w:rsidR="0099019C" w:rsidRPr="008D5D1B" w:rsidRDefault="0099019C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03" w:type="pct"/>
            <w:vMerge w:val="restart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D8411F6" w14:textId="77777777" w:rsidR="0099019C" w:rsidRDefault="0099019C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1F7" w14:textId="77777777" w:rsidR="0099019C" w:rsidRDefault="0099019C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1F8" w14:textId="77777777" w:rsidR="0099019C" w:rsidRDefault="0099019C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1F9" w14:textId="77777777" w:rsidR="0099019C" w:rsidRPr="008D5D1B" w:rsidRDefault="0099019C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Suradnja s nadležnim ministarstvima, članovima Operativne radne grupe te ostalim institucijama relevantnim za </w:t>
            </w:r>
          </w:p>
          <w:p w14:paraId="6D8411FA" w14:textId="77777777" w:rsidR="0099019C" w:rsidRPr="008D5D1B" w:rsidRDefault="0099019C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podizanje razine financijske pismenosti.</w:t>
            </w:r>
          </w:p>
        </w:tc>
        <w:tc>
          <w:tcPr>
            <w:tcW w:w="91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1FB" w14:textId="77777777" w:rsidR="0099019C" w:rsidRPr="008D5D1B" w:rsidRDefault="0099019C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Aktivna suradnja članova Operativne radne grupe s ciljem podizanja razine financijske pismenosti potrošača.</w:t>
            </w:r>
          </w:p>
        </w:tc>
        <w:tc>
          <w:tcPr>
            <w:tcW w:w="1169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1FC" w14:textId="77777777" w:rsidR="0099019C" w:rsidRPr="008D5D1B" w:rsidRDefault="0099019C" w:rsidP="002E6603">
            <w:pPr>
              <w:spacing w:after="0" w:line="336" w:lineRule="atLeast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MFIN</w:t>
            </w:r>
          </w:p>
          <w:p w14:paraId="6D8411FD" w14:textId="77777777" w:rsidR="0099019C" w:rsidRPr="008D5D1B" w:rsidRDefault="0099019C" w:rsidP="002E6603">
            <w:pPr>
              <w:spacing w:after="0" w:line="336" w:lineRule="atLeast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MINGPO</w:t>
            </w:r>
          </w:p>
          <w:p w14:paraId="6D8411FE" w14:textId="77777777" w:rsidR="0099019C" w:rsidRPr="008D5D1B" w:rsidRDefault="0099019C" w:rsidP="002E6603">
            <w:pPr>
              <w:spacing w:after="0" w:line="336" w:lineRule="atLeast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MIZ</w:t>
            </w:r>
          </w:p>
          <w:p w14:paraId="6D8411FF" w14:textId="77777777" w:rsidR="0099019C" w:rsidRPr="008D5D1B" w:rsidRDefault="0099019C" w:rsidP="002E6603">
            <w:pPr>
              <w:spacing w:after="0" w:line="336" w:lineRule="atLeast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MZO</w:t>
            </w:r>
          </w:p>
          <w:p w14:paraId="6D841200" w14:textId="77777777" w:rsidR="0099019C" w:rsidRPr="008D5D1B" w:rsidRDefault="0099019C" w:rsidP="002E6603">
            <w:pPr>
              <w:spacing w:after="0" w:line="336" w:lineRule="atLeast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AZOO</w:t>
            </w:r>
          </w:p>
          <w:p w14:paraId="6D841201" w14:textId="77777777" w:rsidR="0099019C" w:rsidRPr="008D5D1B" w:rsidRDefault="0099019C" w:rsidP="002E6603">
            <w:pPr>
              <w:spacing w:after="0" w:line="336" w:lineRule="atLeast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HANFA</w:t>
            </w:r>
          </w:p>
          <w:p w14:paraId="6D841202" w14:textId="77777777" w:rsidR="0099019C" w:rsidRPr="008D5D1B" w:rsidRDefault="0099019C" w:rsidP="002E6603">
            <w:pPr>
              <w:spacing w:after="0" w:line="336" w:lineRule="atLeast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HNB</w:t>
            </w:r>
          </w:p>
          <w:p w14:paraId="6D841203" w14:textId="77777777" w:rsidR="0099019C" w:rsidRPr="008D5D1B" w:rsidRDefault="0099019C" w:rsidP="002E6603">
            <w:pPr>
              <w:spacing w:after="0" w:line="336" w:lineRule="atLeast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HUO</w:t>
            </w:r>
          </w:p>
          <w:p w14:paraId="6D841204" w14:textId="77777777" w:rsidR="0099019C" w:rsidRPr="008D5D1B" w:rsidRDefault="0099019C" w:rsidP="002E6603">
            <w:pPr>
              <w:spacing w:after="0" w:line="336" w:lineRule="atLeast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HGK</w:t>
            </w:r>
          </w:p>
          <w:p w14:paraId="6D841205" w14:textId="77777777" w:rsidR="0099019C" w:rsidRPr="008D5D1B" w:rsidRDefault="0099019C" w:rsidP="002E6603">
            <w:pPr>
              <w:spacing w:after="0" w:line="336" w:lineRule="atLeast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HUB</w:t>
            </w:r>
          </w:p>
          <w:p w14:paraId="6D841206" w14:textId="77777777" w:rsidR="0099019C" w:rsidRPr="008D5D1B" w:rsidRDefault="0099019C" w:rsidP="002E6603">
            <w:pPr>
              <w:spacing w:after="0" w:line="336" w:lineRule="atLeast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ZSE</w:t>
            </w:r>
          </w:p>
          <w:p w14:paraId="6D841207" w14:textId="77777777" w:rsidR="0099019C" w:rsidRPr="008D5D1B" w:rsidRDefault="0099019C" w:rsidP="002E6603">
            <w:pPr>
              <w:spacing w:after="0" w:line="336" w:lineRule="atLeast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HUP</w:t>
            </w:r>
          </w:p>
          <w:p w14:paraId="6D841208" w14:textId="77777777" w:rsidR="0099019C" w:rsidRDefault="0099019C" w:rsidP="002E6603">
            <w:pPr>
              <w:spacing w:after="0" w:line="336" w:lineRule="atLeast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UMFO</w:t>
            </w:r>
          </w:p>
          <w:p w14:paraId="6D841209" w14:textId="77777777" w:rsidR="0099019C" w:rsidRDefault="0099019C" w:rsidP="002E6603">
            <w:pPr>
              <w:spacing w:after="0" w:line="336" w:lineRule="atLeast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EFZG</w:t>
            </w:r>
          </w:p>
          <w:p w14:paraId="6D84120A" w14:textId="77777777" w:rsidR="0099019C" w:rsidRPr="008D5D1B" w:rsidRDefault="0099019C" w:rsidP="002E6603">
            <w:pPr>
              <w:spacing w:after="0" w:line="336" w:lineRule="atLeast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SSSH</w:t>
            </w:r>
          </w:p>
          <w:p w14:paraId="6D84120B" w14:textId="77777777" w:rsidR="0099019C" w:rsidRDefault="0099019C" w:rsidP="002E6603">
            <w:pPr>
              <w:spacing w:after="0" w:line="336" w:lineRule="atLeast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ŠTEDOPIS</w:t>
            </w:r>
          </w:p>
          <w:p w14:paraId="6D84120C" w14:textId="77777777" w:rsidR="0099019C" w:rsidRPr="008D5D1B" w:rsidRDefault="0099019C" w:rsidP="002E6603">
            <w:pPr>
              <w:spacing w:after="0" w:line="336" w:lineRule="atLeast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HIFE</w:t>
            </w:r>
          </w:p>
        </w:tc>
        <w:tc>
          <w:tcPr>
            <w:tcW w:w="475" w:type="pct"/>
            <w:vMerge w:val="restar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20D" w14:textId="77777777" w:rsidR="0099019C" w:rsidRPr="008D5D1B" w:rsidRDefault="0099019C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20E" w14:textId="77777777" w:rsidR="0099019C" w:rsidRPr="008D5D1B" w:rsidRDefault="0099019C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Kontinuirano</w:t>
            </w:r>
          </w:p>
          <w:p w14:paraId="6D84120F" w14:textId="77777777" w:rsidR="0099019C" w:rsidRPr="008D5D1B" w:rsidRDefault="0099019C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604" w:type="pct"/>
            <w:vMerge w:val="restar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210" w14:textId="77777777" w:rsidR="0099019C" w:rsidRPr="008D5D1B" w:rsidRDefault="0099019C" w:rsidP="002E6603">
            <w:pPr>
              <w:spacing w:after="0" w:line="336" w:lineRule="atLeast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MFIN</w:t>
            </w: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, MZO, MIZ, AZOO – državni proračun</w:t>
            </w:r>
          </w:p>
          <w:p w14:paraId="6D841211" w14:textId="77777777" w:rsidR="0099019C" w:rsidRDefault="0099019C" w:rsidP="002E6603">
            <w:pPr>
              <w:spacing w:after="0" w:line="336" w:lineRule="atLeast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212" w14:textId="77777777" w:rsidR="0099019C" w:rsidRPr="008D5D1B" w:rsidRDefault="0099019C" w:rsidP="002E6603">
            <w:pPr>
              <w:spacing w:after="0" w:line="336" w:lineRule="atLeast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213" w14:textId="77777777" w:rsidR="0099019C" w:rsidRPr="008D5D1B" w:rsidRDefault="0099019C" w:rsidP="002E6603">
            <w:pPr>
              <w:spacing w:after="0" w:line="336" w:lineRule="atLeast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HANFA, HNB, HGK, HUO, HUB, ZSE, HUP, UMFO, </w:t>
            </w: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EFZG, SSSH, </w:t>
            </w: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ŠTEDOPIS</w:t>
            </w: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, HIFE</w:t>
            </w: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 – vlastita sredstva</w:t>
            </w:r>
          </w:p>
          <w:p w14:paraId="6D841214" w14:textId="77777777" w:rsidR="0099019C" w:rsidRPr="008D5D1B" w:rsidRDefault="0099019C" w:rsidP="002E6603">
            <w:pPr>
              <w:spacing w:after="0" w:line="336" w:lineRule="atLeast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2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215" w14:textId="77777777" w:rsidR="0099019C" w:rsidRPr="008D5D1B" w:rsidRDefault="0099019C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Kontinuitet aktivne suradnje nadležnih ministarstava, članova Operativne radne grupe te ostalih institucija relevantnih za podizanje razine financijske pismenosti.</w:t>
            </w:r>
          </w:p>
        </w:tc>
      </w:tr>
      <w:tr w:rsidR="0099019C" w:rsidRPr="008D5D1B" w14:paraId="6D841224" w14:textId="77777777" w:rsidTr="0099019C">
        <w:trPr>
          <w:jc w:val="center"/>
        </w:trPr>
        <w:tc>
          <w:tcPr>
            <w:tcW w:w="209" w:type="pct"/>
            <w:vMerge/>
            <w:vAlign w:val="center"/>
            <w:hideMark/>
          </w:tcPr>
          <w:p w14:paraId="6D841217" w14:textId="77777777" w:rsidR="0099019C" w:rsidRPr="008D5D1B" w:rsidRDefault="0099019C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03" w:type="pct"/>
            <w:vMerge/>
            <w:vAlign w:val="center"/>
            <w:hideMark/>
          </w:tcPr>
          <w:p w14:paraId="6D841218" w14:textId="77777777" w:rsidR="0099019C" w:rsidRPr="008D5D1B" w:rsidRDefault="0099019C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91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219" w14:textId="77777777" w:rsidR="0099019C" w:rsidRPr="008D5D1B" w:rsidRDefault="0099019C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Suradnja sa županijskim stručnim vijećima z</w:t>
            </w: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a građanski odgoj i obrazovanje koja se realizira održavanjem raznih seminara,stručnih predavanja i drugih događanja namijenjenih financijskoj edukaciji.</w:t>
            </w:r>
          </w:p>
        </w:tc>
        <w:tc>
          <w:tcPr>
            <w:tcW w:w="1169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21A" w14:textId="77777777" w:rsidR="0099019C" w:rsidRPr="008D5D1B" w:rsidRDefault="0099019C" w:rsidP="002E6603">
            <w:pPr>
              <w:spacing w:after="0" w:line="336" w:lineRule="atLeast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AZOO</w:t>
            </w:r>
          </w:p>
          <w:p w14:paraId="6D84121B" w14:textId="77777777" w:rsidR="0099019C" w:rsidRPr="008D5D1B" w:rsidRDefault="0099019C" w:rsidP="002E6603">
            <w:pPr>
              <w:spacing w:after="0" w:line="336" w:lineRule="atLeast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HUO</w:t>
            </w:r>
          </w:p>
          <w:p w14:paraId="6D84121C" w14:textId="77777777" w:rsidR="0099019C" w:rsidRDefault="0099019C" w:rsidP="002E6603">
            <w:pPr>
              <w:spacing w:after="0" w:line="336" w:lineRule="atLeast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ŠTEDOPIS</w:t>
            </w:r>
          </w:p>
          <w:p w14:paraId="6D84121D" w14:textId="77777777" w:rsidR="0099019C" w:rsidRPr="008D5D1B" w:rsidRDefault="0099019C" w:rsidP="002E6603">
            <w:pPr>
              <w:spacing w:after="0" w:line="336" w:lineRule="atLeast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EFZG</w:t>
            </w:r>
          </w:p>
        </w:tc>
        <w:tc>
          <w:tcPr>
            <w:tcW w:w="475" w:type="pct"/>
            <w:vMerge/>
            <w:vAlign w:val="center"/>
            <w:hideMark/>
          </w:tcPr>
          <w:p w14:paraId="6D84121E" w14:textId="77777777" w:rsidR="0099019C" w:rsidRPr="008D5D1B" w:rsidRDefault="0099019C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14:paraId="6D84121F" w14:textId="77777777" w:rsidR="0099019C" w:rsidRPr="008D5D1B" w:rsidRDefault="0099019C" w:rsidP="002E6603">
            <w:pPr>
              <w:spacing w:after="0" w:line="336" w:lineRule="atLeast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2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220" w14:textId="77777777" w:rsidR="0099019C" w:rsidRPr="008D5D1B" w:rsidRDefault="0099019C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221" w14:textId="77777777" w:rsidR="0099019C" w:rsidRPr="008D5D1B" w:rsidRDefault="0099019C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Broj održanih </w:t>
            </w: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seminara, stručnih predavanja i drugih </w:t>
            </w: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događanja, broj polaznika te povratna informacija.</w:t>
            </w:r>
          </w:p>
          <w:p w14:paraId="6D841222" w14:textId="77777777" w:rsidR="0099019C" w:rsidRPr="008D5D1B" w:rsidRDefault="0099019C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223" w14:textId="77777777" w:rsidR="0099019C" w:rsidRPr="008D5D1B" w:rsidRDefault="0099019C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</w:tr>
      <w:tr w:rsidR="0099019C" w:rsidRPr="008D5D1B" w14:paraId="6D84122C" w14:textId="77777777" w:rsidTr="0099019C">
        <w:trPr>
          <w:jc w:val="center"/>
        </w:trPr>
        <w:tc>
          <w:tcPr>
            <w:tcW w:w="209" w:type="pct"/>
            <w:vMerge/>
            <w:vAlign w:val="center"/>
            <w:hideMark/>
          </w:tcPr>
          <w:p w14:paraId="6D841225" w14:textId="77777777" w:rsidR="0099019C" w:rsidRPr="008D5D1B" w:rsidRDefault="0099019C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03" w:type="pct"/>
            <w:vMerge/>
            <w:vAlign w:val="center"/>
            <w:hideMark/>
          </w:tcPr>
          <w:p w14:paraId="6D841226" w14:textId="77777777" w:rsidR="0099019C" w:rsidRPr="008D5D1B" w:rsidRDefault="0099019C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91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227" w14:textId="77777777" w:rsidR="0099019C" w:rsidRPr="008D5D1B" w:rsidRDefault="0099019C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Suradnja s MINGPO –</w:t>
            </w:r>
            <w:r w:rsidR="00CD4F58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 Odjelom za zaštitu potrošača te Udrugama i </w:t>
            </w: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Savjetovalištima za zaštitu potroš</w:t>
            </w: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ača putem održavanja raznih događanja.</w:t>
            </w:r>
          </w:p>
        </w:tc>
        <w:tc>
          <w:tcPr>
            <w:tcW w:w="1169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228" w14:textId="77777777" w:rsidR="0099019C" w:rsidRPr="008D5D1B" w:rsidRDefault="0099019C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HUO</w:t>
            </w:r>
          </w:p>
        </w:tc>
        <w:tc>
          <w:tcPr>
            <w:tcW w:w="475" w:type="pct"/>
            <w:vMerge/>
            <w:vAlign w:val="center"/>
            <w:hideMark/>
          </w:tcPr>
          <w:p w14:paraId="6D841229" w14:textId="77777777" w:rsidR="0099019C" w:rsidRPr="008D5D1B" w:rsidRDefault="0099019C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14:paraId="6D84122A" w14:textId="77777777" w:rsidR="0099019C" w:rsidRPr="008D5D1B" w:rsidRDefault="0099019C" w:rsidP="002E6603">
            <w:pPr>
              <w:spacing w:after="0" w:line="336" w:lineRule="atLeast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25" w:type="pct"/>
            <w:vAlign w:val="center"/>
            <w:hideMark/>
          </w:tcPr>
          <w:p w14:paraId="6D84122B" w14:textId="77777777" w:rsidR="0099019C" w:rsidRPr="008D5D1B" w:rsidRDefault="0099019C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Broj o</w:t>
            </w: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držanih događanja,</w:t>
            </w: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 broj obuhvaćenih potrošača.</w:t>
            </w:r>
          </w:p>
        </w:tc>
      </w:tr>
      <w:tr w:rsidR="0099019C" w:rsidRPr="008D5D1B" w14:paraId="6D841236" w14:textId="77777777" w:rsidTr="0099019C">
        <w:trPr>
          <w:trHeight w:val="375"/>
          <w:jc w:val="center"/>
        </w:trPr>
        <w:tc>
          <w:tcPr>
            <w:tcW w:w="209" w:type="pct"/>
            <w:vMerge/>
            <w:vAlign w:val="center"/>
            <w:hideMark/>
          </w:tcPr>
          <w:p w14:paraId="6D84122D" w14:textId="77777777" w:rsidR="0099019C" w:rsidRPr="008D5D1B" w:rsidRDefault="0099019C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03" w:type="pct"/>
            <w:vMerge/>
            <w:vAlign w:val="center"/>
            <w:hideMark/>
          </w:tcPr>
          <w:p w14:paraId="6D84122E" w14:textId="77777777" w:rsidR="0099019C" w:rsidRPr="008D5D1B" w:rsidRDefault="0099019C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915" w:type="pct"/>
            <w:vMerge w:val="restar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22F" w14:textId="77777777" w:rsidR="0099019C" w:rsidRPr="008D5D1B" w:rsidRDefault="0099019C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Suradnja s udrugama studenata, uključujući i suradnju pri održavanju specijaliziranih ljetnih škola, susreta i slično.</w:t>
            </w:r>
          </w:p>
        </w:tc>
        <w:tc>
          <w:tcPr>
            <w:tcW w:w="1169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230" w14:textId="77777777" w:rsidR="0099019C" w:rsidRDefault="0099019C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HANFA</w:t>
            </w:r>
          </w:p>
          <w:p w14:paraId="6D841231" w14:textId="77777777" w:rsidR="0099019C" w:rsidRPr="008D5D1B" w:rsidRDefault="0099019C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6D841232" w14:textId="77777777" w:rsidR="0099019C" w:rsidRPr="008D5D1B" w:rsidRDefault="0099019C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14:paraId="6D841233" w14:textId="77777777" w:rsidR="0099019C" w:rsidRPr="008D5D1B" w:rsidRDefault="0099019C" w:rsidP="002E6603">
            <w:pPr>
              <w:spacing w:after="0" w:line="336" w:lineRule="atLeast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2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234" w14:textId="77777777" w:rsidR="0099019C" w:rsidRDefault="0099019C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Broj ostvarenih suradnji.</w:t>
            </w: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 </w:t>
            </w:r>
          </w:p>
          <w:p w14:paraId="6D841235" w14:textId="77777777" w:rsidR="0099019C" w:rsidRPr="008D5D1B" w:rsidRDefault="0099019C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</w:tr>
      <w:tr w:rsidR="0099019C" w:rsidRPr="008D5D1B" w14:paraId="6D84123F" w14:textId="77777777" w:rsidTr="0099019C">
        <w:trPr>
          <w:trHeight w:val="540"/>
          <w:jc w:val="center"/>
        </w:trPr>
        <w:tc>
          <w:tcPr>
            <w:tcW w:w="209" w:type="pct"/>
            <w:vMerge/>
            <w:vAlign w:val="center"/>
          </w:tcPr>
          <w:p w14:paraId="6D841237" w14:textId="77777777" w:rsidR="0099019C" w:rsidRPr="008D5D1B" w:rsidRDefault="0099019C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03" w:type="pct"/>
            <w:vMerge/>
            <w:vAlign w:val="center"/>
          </w:tcPr>
          <w:p w14:paraId="6D841238" w14:textId="77777777" w:rsidR="0099019C" w:rsidRPr="008D5D1B" w:rsidRDefault="0099019C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915" w:type="pct"/>
            <w:vMerge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239" w14:textId="77777777" w:rsidR="0099019C" w:rsidRPr="008D5D1B" w:rsidRDefault="0099019C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1169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23A" w14:textId="77777777" w:rsidR="0099019C" w:rsidRPr="008D5D1B" w:rsidRDefault="0099019C" w:rsidP="00C22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EFZG</w:t>
            </w:r>
          </w:p>
        </w:tc>
        <w:tc>
          <w:tcPr>
            <w:tcW w:w="475" w:type="pct"/>
            <w:vMerge/>
            <w:vAlign w:val="center"/>
          </w:tcPr>
          <w:p w14:paraId="6D84123B" w14:textId="77777777" w:rsidR="0099019C" w:rsidRPr="008D5D1B" w:rsidRDefault="0099019C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604" w:type="pct"/>
            <w:vMerge/>
            <w:vAlign w:val="center"/>
          </w:tcPr>
          <w:p w14:paraId="6D84123C" w14:textId="77777777" w:rsidR="0099019C" w:rsidRPr="008D5D1B" w:rsidRDefault="0099019C" w:rsidP="002E6603">
            <w:pPr>
              <w:spacing w:after="0" w:line="336" w:lineRule="atLeast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2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23D" w14:textId="77777777" w:rsidR="0099019C" w:rsidRPr="00C22226" w:rsidRDefault="0099019C" w:rsidP="00C22226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C22226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Broj ostvarenih suradnji. </w:t>
            </w:r>
          </w:p>
          <w:p w14:paraId="6D84123E" w14:textId="77777777" w:rsidR="0099019C" w:rsidRPr="008D5D1B" w:rsidRDefault="0099019C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</w:tr>
      <w:tr w:rsidR="00364CED" w:rsidRPr="008D5D1B" w14:paraId="6D841249" w14:textId="77777777" w:rsidTr="00364CED">
        <w:trPr>
          <w:trHeight w:val="529"/>
          <w:jc w:val="center"/>
        </w:trPr>
        <w:tc>
          <w:tcPr>
            <w:tcW w:w="209" w:type="pct"/>
            <w:vMerge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240" w14:textId="77777777" w:rsidR="00364CED" w:rsidRPr="008D5D1B" w:rsidRDefault="00364CED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03" w:type="pct"/>
            <w:vMerge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241" w14:textId="77777777" w:rsidR="00364CED" w:rsidRPr="008D5D1B" w:rsidRDefault="00364CED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915" w:type="pct"/>
            <w:vMerge w:val="restar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242" w14:textId="77777777" w:rsidR="00364CED" w:rsidRPr="008D5D1B" w:rsidRDefault="00364CED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5F2EBD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Suradnja s Knjižnicama Grada Zagreba </w:t>
            </w:r>
          </w:p>
        </w:tc>
        <w:tc>
          <w:tcPr>
            <w:tcW w:w="1169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243" w14:textId="77777777" w:rsidR="00364CED" w:rsidRDefault="00364CED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HIFE</w:t>
            </w:r>
          </w:p>
          <w:p w14:paraId="6D841244" w14:textId="77777777" w:rsidR="00364CED" w:rsidRPr="008D5D1B" w:rsidRDefault="00364CED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475" w:type="pct"/>
            <w:vMerge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245" w14:textId="77777777" w:rsidR="00364CED" w:rsidRPr="008D5D1B" w:rsidRDefault="00364CED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604" w:type="pct"/>
            <w:vMerge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246" w14:textId="77777777" w:rsidR="00364CED" w:rsidRPr="008D5D1B" w:rsidRDefault="00364CED" w:rsidP="002E6603">
            <w:pPr>
              <w:spacing w:after="0" w:line="336" w:lineRule="atLeast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25" w:type="pct"/>
            <w:vMerge w:val="restar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247" w14:textId="77777777" w:rsidR="00364CED" w:rsidRPr="005F2EBD" w:rsidRDefault="00364CED" w:rsidP="005F2EBD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5F2EBD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Broj održanih događanja, broj polaznika te povratna informacija.</w:t>
            </w:r>
          </w:p>
          <w:p w14:paraId="6D841248" w14:textId="77777777" w:rsidR="00364CED" w:rsidRPr="008D5D1B" w:rsidRDefault="00364CED" w:rsidP="002E6603">
            <w:pPr>
              <w:spacing w:after="0" w:line="336" w:lineRule="atLeast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</w:tr>
      <w:tr w:rsidR="00364CED" w:rsidRPr="008D5D1B" w14:paraId="6D841251" w14:textId="77777777" w:rsidTr="0099019C">
        <w:trPr>
          <w:trHeight w:val="571"/>
          <w:jc w:val="center"/>
        </w:trPr>
        <w:tc>
          <w:tcPr>
            <w:tcW w:w="209" w:type="pct"/>
            <w:vMerge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24A" w14:textId="77777777" w:rsidR="00364CED" w:rsidRPr="008D5D1B" w:rsidRDefault="00364CED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03" w:type="pct"/>
            <w:vMerge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24B" w14:textId="77777777" w:rsidR="00364CED" w:rsidRPr="008D5D1B" w:rsidRDefault="00364CED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915" w:type="pct"/>
            <w:vMerge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24C" w14:textId="77777777" w:rsidR="00364CED" w:rsidRPr="005F2EBD" w:rsidRDefault="00364CED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1169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24D" w14:textId="77777777" w:rsidR="00364CED" w:rsidRDefault="00364CED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364CED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ŠTEDOPIS</w:t>
            </w:r>
          </w:p>
        </w:tc>
        <w:tc>
          <w:tcPr>
            <w:tcW w:w="475" w:type="pct"/>
            <w:vMerge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24E" w14:textId="77777777" w:rsidR="00364CED" w:rsidRPr="008D5D1B" w:rsidRDefault="00364CED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604" w:type="pct"/>
            <w:vMerge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24F" w14:textId="77777777" w:rsidR="00364CED" w:rsidRPr="008D5D1B" w:rsidRDefault="00364CED" w:rsidP="002E6603">
            <w:pPr>
              <w:spacing w:after="0" w:line="336" w:lineRule="atLeast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25" w:type="pct"/>
            <w:vMerge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250" w14:textId="77777777" w:rsidR="00364CED" w:rsidRPr="005F2EBD" w:rsidRDefault="00364CED" w:rsidP="005F2EBD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</w:tr>
      <w:tr w:rsidR="0099019C" w:rsidRPr="00916142" w14:paraId="6D84125B" w14:textId="77777777" w:rsidTr="0099019C">
        <w:trPr>
          <w:trHeight w:val="879"/>
          <w:jc w:val="center"/>
        </w:trPr>
        <w:tc>
          <w:tcPr>
            <w:tcW w:w="209" w:type="pct"/>
            <w:vMerge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252" w14:textId="77777777" w:rsidR="0099019C" w:rsidRPr="008D5D1B" w:rsidRDefault="0099019C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03" w:type="pct"/>
            <w:vMerge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253" w14:textId="77777777" w:rsidR="0099019C" w:rsidRPr="008D5D1B" w:rsidRDefault="0099019C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91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254" w14:textId="77777777" w:rsidR="0099019C" w:rsidRPr="008D5D1B" w:rsidRDefault="0099019C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Sudjelovanje u projektu pružanja tehničke pomoći u financijskom obrazovanju u organizaciji OECD/INFE i Ministarstva financija Nizozemske</w:t>
            </w:r>
          </w:p>
        </w:tc>
        <w:tc>
          <w:tcPr>
            <w:tcW w:w="1169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255" w14:textId="77777777" w:rsidR="0099019C" w:rsidRPr="008D5D1B" w:rsidRDefault="0099019C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MFIN</w:t>
            </w:r>
          </w:p>
          <w:p w14:paraId="6D841256" w14:textId="77777777" w:rsidR="0099019C" w:rsidRPr="008D5D1B" w:rsidRDefault="0099019C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HNB</w:t>
            </w:r>
          </w:p>
          <w:p w14:paraId="6D841257" w14:textId="77777777" w:rsidR="0099019C" w:rsidRPr="008D5D1B" w:rsidRDefault="0099019C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HANFA </w:t>
            </w:r>
          </w:p>
        </w:tc>
        <w:tc>
          <w:tcPr>
            <w:tcW w:w="475" w:type="pct"/>
            <w:vMerge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258" w14:textId="77777777" w:rsidR="0099019C" w:rsidRPr="008D5D1B" w:rsidRDefault="0099019C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604" w:type="pct"/>
            <w:vMerge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259" w14:textId="77777777" w:rsidR="0099019C" w:rsidRPr="008D5D1B" w:rsidRDefault="0099019C" w:rsidP="002E6603">
            <w:pPr>
              <w:spacing w:after="0" w:line="336" w:lineRule="atLeast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2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25A" w14:textId="77777777" w:rsidR="0099019C" w:rsidRPr="008D5D1B" w:rsidRDefault="0099019C" w:rsidP="00916142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Provedba projekta tehničke pomoći u financijskom obrazovanju.</w:t>
            </w:r>
          </w:p>
        </w:tc>
      </w:tr>
      <w:tr w:rsidR="00127685" w:rsidRPr="00C22226" w14:paraId="6D84126A" w14:textId="77777777" w:rsidTr="00127685">
        <w:trPr>
          <w:trHeight w:val="1522"/>
          <w:jc w:val="center"/>
        </w:trPr>
        <w:tc>
          <w:tcPr>
            <w:tcW w:w="209" w:type="pct"/>
            <w:vMerge w:val="restar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25C" w14:textId="77777777" w:rsidR="00127685" w:rsidRPr="008D5D1B" w:rsidRDefault="00127685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803" w:type="pct"/>
            <w:vMerge w:val="restar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25D" w14:textId="77777777" w:rsidR="00127685" w:rsidRPr="008D5D1B" w:rsidRDefault="00127685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Izrada, izdavanje i objava edukativnih materijala, brošura i publikacija, internetskih stranica i korisnih uputa u svezi s financijskim opismenjavanjem i obrazovanjem.</w:t>
            </w:r>
          </w:p>
        </w:tc>
        <w:tc>
          <w:tcPr>
            <w:tcW w:w="91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25E" w14:textId="77777777" w:rsidR="00127685" w:rsidRPr="008D5D1B" w:rsidRDefault="00127685" w:rsidP="00127685">
            <w:pP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2E77EF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Izrada i objava brošura, publikacija, uputa, stručnih tekstova i slično o različitim finan</w:t>
            </w: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cijskim uslugama i proizvodima.</w:t>
            </w:r>
          </w:p>
        </w:tc>
        <w:tc>
          <w:tcPr>
            <w:tcW w:w="1169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25F" w14:textId="77777777" w:rsidR="00127685" w:rsidRDefault="00127685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HGK</w:t>
            </w:r>
          </w:p>
          <w:p w14:paraId="6D841260" w14:textId="77777777" w:rsidR="00127685" w:rsidRPr="008D5D1B" w:rsidRDefault="00127685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47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261" w14:textId="77777777" w:rsidR="00127685" w:rsidRPr="008D5D1B" w:rsidRDefault="00127685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Kontinuirano</w:t>
            </w:r>
          </w:p>
        </w:tc>
        <w:tc>
          <w:tcPr>
            <w:tcW w:w="604" w:type="pct"/>
            <w:vMerge w:val="restar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262" w14:textId="77777777" w:rsidR="00127685" w:rsidRPr="008D5D1B" w:rsidRDefault="00127685" w:rsidP="002E6603">
            <w:pPr>
              <w:spacing w:after="0" w:line="336" w:lineRule="atLeast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263" w14:textId="77777777" w:rsidR="00127685" w:rsidRPr="008D5D1B" w:rsidRDefault="00127685" w:rsidP="002E6603">
            <w:pPr>
              <w:spacing w:after="0" w:line="336" w:lineRule="atLeast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MFIN,</w:t>
            </w: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MINGPO, </w:t>
            </w: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MZO, MIZ, AZOO – državni proračun</w:t>
            </w:r>
          </w:p>
          <w:p w14:paraId="6D841264" w14:textId="77777777" w:rsidR="00127685" w:rsidRPr="008D5D1B" w:rsidRDefault="00127685" w:rsidP="002E6603">
            <w:pPr>
              <w:spacing w:after="0" w:line="336" w:lineRule="atLeast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265" w14:textId="77777777" w:rsidR="00127685" w:rsidRPr="008D5D1B" w:rsidRDefault="00127685" w:rsidP="002E6603">
            <w:pPr>
              <w:spacing w:after="0" w:line="336" w:lineRule="atLeast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266" w14:textId="77777777" w:rsidR="00127685" w:rsidRPr="008D5D1B" w:rsidRDefault="00127685" w:rsidP="002E6603">
            <w:pPr>
              <w:spacing w:after="0" w:line="336" w:lineRule="atLeast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267" w14:textId="77777777" w:rsidR="00127685" w:rsidRPr="008D5D1B" w:rsidRDefault="00127685" w:rsidP="002E6603">
            <w:pPr>
              <w:spacing w:after="0" w:line="336" w:lineRule="atLeast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HANFA, HNB, HGK, HUO, HUB, ZSE, HUP, UMFO, </w:t>
            </w: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EFZG, SSSH, </w:t>
            </w: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ŠTEDOPIS – vlastita sredstva</w:t>
            </w:r>
          </w:p>
          <w:p w14:paraId="6D841268" w14:textId="77777777" w:rsidR="00127685" w:rsidRPr="008D5D1B" w:rsidRDefault="00127685" w:rsidP="002E6603">
            <w:pPr>
              <w:spacing w:after="0" w:line="336" w:lineRule="atLeast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2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269" w14:textId="77777777" w:rsidR="00127685" w:rsidRPr="008D5D1B" w:rsidRDefault="00127685" w:rsidP="00C22226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Broj izrađenih, izdanih i objavljenih edukativnih </w:t>
            </w:r>
            <w:r w:rsidRPr="00C22226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materijala, brošura, publ</w:t>
            </w: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ikacija, knjiga, letaka i sl</w:t>
            </w:r>
            <w:r w:rsidRPr="00C22226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.</w:t>
            </w:r>
          </w:p>
        </w:tc>
      </w:tr>
      <w:tr w:rsidR="00DE715B" w:rsidRPr="008D5D1B" w14:paraId="6D841272" w14:textId="77777777" w:rsidTr="0099019C">
        <w:trPr>
          <w:trHeight w:val="705"/>
          <w:jc w:val="center"/>
        </w:trPr>
        <w:tc>
          <w:tcPr>
            <w:tcW w:w="209" w:type="pct"/>
            <w:vMerge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26B" w14:textId="77777777" w:rsidR="00DE715B" w:rsidRPr="008D5D1B" w:rsidRDefault="00DE715B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03" w:type="pct"/>
            <w:vMerge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26C" w14:textId="77777777" w:rsidR="00DE715B" w:rsidRPr="008D5D1B" w:rsidRDefault="00DE715B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91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26D" w14:textId="77777777" w:rsidR="00DE715B" w:rsidRPr="008D5D1B" w:rsidRDefault="00DE715B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Promocija sveučilišnog priručnika „</w:t>
            </w:r>
            <w:r w:rsidRPr="00F31D43">
              <w:rPr>
                <w:rFonts w:ascii="Arial Narrow" w:eastAsia="Times New Roman" w:hAnsi="Arial Narrow" w:cs="Times New Roman"/>
                <w:i/>
                <w:color w:val="666666"/>
                <w:sz w:val="20"/>
                <w:szCs w:val="20"/>
                <w:lang w:eastAsia="hr-HR"/>
              </w:rPr>
              <w:t>Financijska pismenost i odgovorna potrošnja u svakodnevnom životu“</w:t>
            </w: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69" w:type="pct"/>
            <w:vMerge w:val="restar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26E" w14:textId="77777777" w:rsidR="00DE715B" w:rsidRPr="008D5D1B" w:rsidRDefault="00DE715B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EFZG</w:t>
            </w:r>
          </w:p>
        </w:tc>
        <w:tc>
          <w:tcPr>
            <w:tcW w:w="47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26F" w14:textId="77777777" w:rsidR="00DE715B" w:rsidRPr="008D5D1B" w:rsidRDefault="00DE715B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Kontinuirano</w:t>
            </w:r>
          </w:p>
        </w:tc>
        <w:tc>
          <w:tcPr>
            <w:tcW w:w="604" w:type="pct"/>
            <w:vMerge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270" w14:textId="77777777" w:rsidR="00DE715B" w:rsidRPr="008D5D1B" w:rsidRDefault="00DE715B" w:rsidP="002E6603">
            <w:pPr>
              <w:spacing w:after="0" w:line="336" w:lineRule="atLeast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2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271" w14:textId="77777777" w:rsidR="00DE715B" w:rsidRPr="008D5D1B" w:rsidRDefault="00DE715B" w:rsidP="00986340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C22226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Broj iz</w:t>
            </w: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danih sveučilišnih priručnika</w:t>
            </w:r>
            <w:r w:rsidR="00986340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 i održanih promocija</w:t>
            </w:r>
            <w:r w:rsidR="00F31D43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.</w:t>
            </w:r>
          </w:p>
        </w:tc>
      </w:tr>
      <w:tr w:rsidR="00DE715B" w:rsidRPr="008D5D1B" w14:paraId="6D84127A" w14:textId="77777777" w:rsidTr="0099019C">
        <w:trPr>
          <w:trHeight w:val="705"/>
          <w:jc w:val="center"/>
        </w:trPr>
        <w:tc>
          <w:tcPr>
            <w:tcW w:w="209" w:type="pct"/>
            <w:vMerge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273" w14:textId="77777777" w:rsidR="00DE715B" w:rsidRPr="008D5D1B" w:rsidRDefault="00DE715B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03" w:type="pct"/>
            <w:vMerge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274" w14:textId="77777777" w:rsidR="00DE715B" w:rsidRPr="008D5D1B" w:rsidRDefault="00DE715B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91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275" w14:textId="77777777" w:rsidR="00DE715B" w:rsidRDefault="00DE715B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DE715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Edukativna knjižica za učenike </w:t>
            </w:r>
            <w:r w:rsidRPr="00F31D43">
              <w:rPr>
                <w:rFonts w:ascii="Arial Narrow" w:eastAsia="Times New Roman" w:hAnsi="Arial Narrow" w:cs="Times New Roman"/>
                <w:i/>
                <w:color w:val="666666"/>
                <w:sz w:val="20"/>
                <w:szCs w:val="20"/>
                <w:lang w:eastAsia="hr-HR"/>
              </w:rPr>
              <w:t>„Isplati se znati“</w:t>
            </w:r>
          </w:p>
        </w:tc>
        <w:tc>
          <w:tcPr>
            <w:tcW w:w="1169" w:type="pct"/>
            <w:vMerge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276" w14:textId="77777777" w:rsidR="00DE715B" w:rsidRDefault="00DE715B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47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277" w14:textId="77777777" w:rsidR="00DE715B" w:rsidRPr="008D5D1B" w:rsidRDefault="00DE715B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DE715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IV. kvartal</w:t>
            </w:r>
          </w:p>
        </w:tc>
        <w:tc>
          <w:tcPr>
            <w:tcW w:w="604" w:type="pct"/>
            <w:vMerge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278" w14:textId="77777777" w:rsidR="00DE715B" w:rsidRPr="008D5D1B" w:rsidRDefault="00DE715B" w:rsidP="002E6603">
            <w:pPr>
              <w:spacing w:after="0" w:line="336" w:lineRule="atLeast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2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279" w14:textId="77777777" w:rsidR="00DE715B" w:rsidRPr="00C22226" w:rsidRDefault="00986340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986340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Broj izdanih edukativnih knjižica.</w:t>
            </w:r>
          </w:p>
        </w:tc>
      </w:tr>
      <w:tr w:rsidR="00127685" w:rsidRPr="008D5D1B" w14:paraId="6D841282" w14:textId="77777777" w:rsidTr="0099019C">
        <w:trPr>
          <w:trHeight w:val="705"/>
          <w:jc w:val="center"/>
        </w:trPr>
        <w:tc>
          <w:tcPr>
            <w:tcW w:w="209" w:type="pct"/>
            <w:vMerge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27B" w14:textId="77777777" w:rsidR="00127685" w:rsidRPr="008D5D1B" w:rsidRDefault="00127685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03" w:type="pct"/>
            <w:vMerge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27C" w14:textId="77777777" w:rsidR="00127685" w:rsidRPr="008D5D1B" w:rsidRDefault="00127685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91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27D" w14:textId="77777777" w:rsidR="00127685" w:rsidRPr="00DE715B" w:rsidRDefault="00127685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Projekt </w:t>
            </w:r>
            <w:r w:rsidRPr="00F31D43">
              <w:rPr>
                <w:rFonts w:ascii="Arial Narrow" w:eastAsia="Times New Roman" w:hAnsi="Arial Narrow" w:cs="Times New Roman"/>
                <w:i/>
                <w:color w:val="666666"/>
                <w:sz w:val="20"/>
                <w:szCs w:val="20"/>
                <w:lang w:eastAsia="hr-HR"/>
              </w:rPr>
              <w:t>„Priručnik za potrošače</w:t>
            </w:r>
            <w:r w:rsidR="00A619FE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“ – dopunjeno izdanje.</w:t>
            </w:r>
          </w:p>
        </w:tc>
        <w:tc>
          <w:tcPr>
            <w:tcW w:w="1169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27E" w14:textId="77777777" w:rsidR="00127685" w:rsidRDefault="00127685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MINGPO/ ostali dionici zaštite</w:t>
            </w:r>
            <w:r w:rsidR="00A619FE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 potrošača</w:t>
            </w: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47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27F" w14:textId="77777777" w:rsidR="00127685" w:rsidRPr="00DE715B" w:rsidRDefault="00127685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I. kvartal</w:t>
            </w:r>
          </w:p>
        </w:tc>
        <w:tc>
          <w:tcPr>
            <w:tcW w:w="604" w:type="pct"/>
            <w:vMerge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280" w14:textId="77777777" w:rsidR="00127685" w:rsidRPr="008D5D1B" w:rsidRDefault="00127685" w:rsidP="002E6603">
            <w:pPr>
              <w:spacing w:after="0" w:line="336" w:lineRule="atLeast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2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281" w14:textId="77777777" w:rsidR="00127685" w:rsidRPr="00986340" w:rsidRDefault="00127685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 Broj tiskanih primjeraka.</w:t>
            </w:r>
          </w:p>
        </w:tc>
      </w:tr>
      <w:tr w:rsidR="00127685" w:rsidRPr="008D5D1B" w14:paraId="6D841290" w14:textId="77777777" w:rsidTr="00D652EE">
        <w:trPr>
          <w:trHeight w:val="696"/>
          <w:jc w:val="center"/>
        </w:trPr>
        <w:tc>
          <w:tcPr>
            <w:tcW w:w="209" w:type="pct"/>
            <w:vMerge/>
            <w:vAlign w:val="center"/>
            <w:hideMark/>
          </w:tcPr>
          <w:p w14:paraId="6D841283" w14:textId="77777777" w:rsidR="00127685" w:rsidRPr="008D5D1B" w:rsidRDefault="00127685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03" w:type="pct"/>
            <w:vMerge/>
            <w:vAlign w:val="center"/>
            <w:hideMark/>
          </w:tcPr>
          <w:p w14:paraId="6D841284" w14:textId="77777777" w:rsidR="00127685" w:rsidRPr="008D5D1B" w:rsidRDefault="00127685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915" w:type="pct"/>
            <w:vMerge w:val="restar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285" w14:textId="77777777" w:rsidR="00127685" w:rsidRPr="008D5D1B" w:rsidRDefault="00127685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Objava relevantnih informacija na internetskoj stranici u svezi s financijskom pismenosti p</w:t>
            </w:r>
            <w:r w:rsidR="00F31D43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otrošača te njezino ažuriranje.</w:t>
            </w:r>
          </w:p>
        </w:tc>
        <w:tc>
          <w:tcPr>
            <w:tcW w:w="1169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286" w14:textId="77777777" w:rsidR="00127685" w:rsidRPr="008D5D1B" w:rsidRDefault="00127685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MINGPO</w:t>
            </w:r>
          </w:p>
        </w:tc>
        <w:tc>
          <w:tcPr>
            <w:tcW w:w="475" w:type="pct"/>
            <w:vMerge w:val="restart"/>
            <w:vAlign w:val="center"/>
            <w:hideMark/>
          </w:tcPr>
          <w:p w14:paraId="6D841287" w14:textId="77777777" w:rsidR="00127685" w:rsidRPr="008D5D1B" w:rsidRDefault="00127685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14:paraId="6D841288" w14:textId="77777777" w:rsidR="00127685" w:rsidRPr="008D5D1B" w:rsidRDefault="00127685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25" w:type="pct"/>
            <w:vMerge w:val="restart"/>
            <w:vAlign w:val="center"/>
            <w:hideMark/>
          </w:tcPr>
          <w:p w14:paraId="6D841289" w14:textId="77777777" w:rsidR="00127685" w:rsidRPr="008D5D1B" w:rsidRDefault="00127685" w:rsidP="002E6603">
            <w:pPr>
              <w:spacing w:after="0" w:line="336" w:lineRule="atLeast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28A" w14:textId="77777777" w:rsidR="00127685" w:rsidRPr="008D5D1B" w:rsidRDefault="00127685" w:rsidP="002E6603">
            <w:pPr>
              <w:spacing w:after="0" w:line="336" w:lineRule="atLeast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Posjećenost portala, broj pregleda te preuzimanja materijala.</w:t>
            </w:r>
          </w:p>
          <w:p w14:paraId="6D84128B" w14:textId="77777777" w:rsidR="00127685" w:rsidRPr="008D5D1B" w:rsidRDefault="00127685" w:rsidP="002E6603">
            <w:pPr>
              <w:spacing w:after="0" w:line="336" w:lineRule="atLeast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28C" w14:textId="77777777" w:rsidR="00127685" w:rsidRDefault="00127685" w:rsidP="002E6603">
            <w:pPr>
              <w:spacing w:after="0" w:line="336" w:lineRule="atLeast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28D" w14:textId="77777777" w:rsidR="00127685" w:rsidRDefault="00127685" w:rsidP="002E6603">
            <w:pPr>
              <w:spacing w:after="0" w:line="336" w:lineRule="atLeast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28E" w14:textId="77777777" w:rsidR="00127685" w:rsidRPr="008D5D1B" w:rsidRDefault="00127685" w:rsidP="002E6603">
            <w:pPr>
              <w:spacing w:after="0" w:line="336" w:lineRule="atLeast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Dodatno tiskanje i distribucija (direktno i putem društava za osiguranje) brošure „Č</w:t>
            </w: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emu zapravo služi osiguranje?“ i drugih informativnih materijala</w:t>
            </w:r>
          </w:p>
          <w:p w14:paraId="6D84128F" w14:textId="77777777" w:rsidR="00127685" w:rsidRPr="008D5D1B" w:rsidRDefault="00127685" w:rsidP="002E6603">
            <w:pPr>
              <w:spacing w:after="0" w:line="336" w:lineRule="atLeast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</w:tr>
      <w:tr w:rsidR="00127685" w:rsidRPr="008D5D1B" w14:paraId="6D841298" w14:textId="77777777" w:rsidTr="00127685">
        <w:trPr>
          <w:trHeight w:val="869"/>
          <w:jc w:val="center"/>
        </w:trPr>
        <w:tc>
          <w:tcPr>
            <w:tcW w:w="209" w:type="pct"/>
            <w:vMerge/>
            <w:vAlign w:val="center"/>
          </w:tcPr>
          <w:p w14:paraId="6D841291" w14:textId="77777777" w:rsidR="00127685" w:rsidRPr="008D5D1B" w:rsidRDefault="00127685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03" w:type="pct"/>
            <w:vMerge/>
            <w:vAlign w:val="center"/>
          </w:tcPr>
          <w:p w14:paraId="6D841292" w14:textId="77777777" w:rsidR="00127685" w:rsidRPr="008D5D1B" w:rsidRDefault="00127685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915" w:type="pct"/>
            <w:vMerge/>
            <w:vAlign w:val="center"/>
          </w:tcPr>
          <w:p w14:paraId="6D841293" w14:textId="77777777" w:rsidR="00127685" w:rsidRPr="008D5D1B" w:rsidRDefault="00127685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1169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294" w14:textId="77777777" w:rsidR="00127685" w:rsidRDefault="00127685" w:rsidP="001276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MFIN</w:t>
            </w:r>
          </w:p>
        </w:tc>
        <w:tc>
          <w:tcPr>
            <w:tcW w:w="475" w:type="pct"/>
            <w:vMerge/>
            <w:vAlign w:val="center"/>
          </w:tcPr>
          <w:p w14:paraId="6D841295" w14:textId="77777777" w:rsidR="00127685" w:rsidRPr="008D5D1B" w:rsidRDefault="00127685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604" w:type="pct"/>
            <w:vMerge/>
            <w:vAlign w:val="center"/>
          </w:tcPr>
          <w:p w14:paraId="6D841296" w14:textId="77777777" w:rsidR="00127685" w:rsidRPr="008D5D1B" w:rsidRDefault="00127685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25" w:type="pct"/>
            <w:vMerge/>
            <w:vAlign w:val="center"/>
          </w:tcPr>
          <w:p w14:paraId="6D841297" w14:textId="77777777" w:rsidR="00127685" w:rsidRPr="008D5D1B" w:rsidRDefault="00127685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</w:tr>
      <w:tr w:rsidR="002E77EF" w:rsidRPr="008D5D1B" w14:paraId="6D8412A0" w14:textId="77777777" w:rsidTr="00F31D43">
        <w:trPr>
          <w:trHeight w:val="543"/>
          <w:jc w:val="center"/>
        </w:trPr>
        <w:tc>
          <w:tcPr>
            <w:tcW w:w="209" w:type="pct"/>
            <w:vMerge/>
            <w:vAlign w:val="center"/>
          </w:tcPr>
          <w:p w14:paraId="6D841299" w14:textId="77777777" w:rsidR="002E77EF" w:rsidRPr="008D5D1B" w:rsidRDefault="002E77EF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03" w:type="pct"/>
            <w:vMerge/>
            <w:vAlign w:val="center"/>
          </w:tcPr>
          <w:p w14:paraId="6D84129A" w14:textId="77777777" w:rsidR="002E77EF" w:rsidRPr="008D5D1B" w:rsidRDefault="002E77EF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915" w:type="pct"/>
            <w:vMerge/>
            <w:vAlign w:val="center"/>
          </w:tcPr>
          <w:p w14:paraId="6D84129B" w14:textId="77777777" w:rsidR="002E77EF" w:rsidRPr="008D5D1B" w:rsidRDefault="002E77EF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1169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29C" w14:textId="77777777" w:rsidR="002E77EF" w:rsidRPr="008D5D1B" w:rsidRDefault="002E77EF" w:rsidP="00C222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EFZG</w:t>
            </w:r>
          </w:p>
        </w:tc>
        <w:tc>
          <w:tcPr>
            <w:tcW w:w="475" w:type="pct"/>
            <w:vMerge/>
            <w:vAlign w:val="center"/>
          </w:tcPr>
          <w:p w14:paraId="6D84129D" w14:textId="77777777" w:rsidR="002E77EF" w:rsidRPr="008D5D1B" w:rsidRDefault="002E77EF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604" w:type="pct"/>
            <w:vMerge/>
            <w:vAlign w:val="center"/>
          </w:tcPr>
          <w:p w14:paraId="6D84129E" w14:textId="77777777" w:rsidR="002E77EF" w:rsidRPr="008D5D1B" w:rsidRDefault="002E77EF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25" w:type="pct"/>
            <w:vMerge/>
            <w:vAlign w:val="center"/>
          </w:tcPr>
          <w:p w14:paraId="6D84129F" w14:textId="77777777" w:rsidR="002E77EF" w:rsidRPr="008D5D1B" w:rsidRDefault="002E77EF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</w:tr>
      <w:tr w:rsidR="002E77EF" w:rsidRPr="008D5D1B" w14:paraId="6D8412A8" w14:textId="77777777" w:rsidTr="0099019C">
        <w:trPr>
          <w:jc w:val="center"/>
        </w:trPr>
        <w:tc>
          <w:tcPr>
            <w:tcW w:w="209" w:type="pct"/>
            <w:vMerge/>
            <w:vAlign w:val="center"/>
            <w:hideMark/>
          </w:tcPr>
          <w:p w14:paraId="6D8412A1" w14:textId="77777777" w:rsidR="002E77EF" w:rsidRPr="008D5D1B" w:rsidRDefault="002E77EF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03" w:type="pct"/>
            <w:vMerge/>
            <w:vAlign w:val="center"/>
            <w:hideMark/>
          </w:tcPr>
          <w:p w14:paraId="6D8412A2" w14:textId="77777777" w:rsidR="002E77EF" w:rsidRPr="008D5D1B" w:rsidRDefault="002E77EF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91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2A3" w14:textId="77777777" w:rsidR="002E77EF" w:rsidRPr="008D5D1B" w:rsidRDefault="002E77EF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Izrada ili objava edukativnih materijala i uputa vezanih uz bankarske i financijske usluge.</w:t>
            </w:r>
          </w:p>
        </w:tc>
        <w:tc>
          <w:tcPr>
            <w:tcW w:w="1169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2A4" w14:textId="77777777" w:rsidR="002E77EF" w:rsidRPr="008D5D1B" w:rsidRDefault="002E77EF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HNB</w:t>
            </w:r>
          </w:p>
        </w:tc>
        <w:tc>
          <w:tcPr>
            <w:tcW w:w="475" w:type="pct"/>
            <w:vMerge/>
            <w:vAlign w:val="center"/>
            <w:hideMark/>
          </w:tcPr>
          <w:p w14:paraId="6D8412A5" w14:textId="77777777" w:rsidR="002E77EF" w:rsidRPr="008D5D1B" w:rsidRDefault="002E77EF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14:paraId="6D8412A6" w14:textId="77777777" w:rsidR="002E77EF" w:rsidRPr="008D5D1B" w:rsidRDefault="002E77EF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25" w:type="pct"/>
            <w:vMerge/>
            <w:vAlign w:val="center"/>
            <w:hideMark/>
          </w:tcPr>
          <w:p w14:paraId="6D8412A7" w14:textId="77777777" w:rsidR="002E77EF" w:rsidRPr="008D5D1B" w:rsidRDefault="002E77EF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</w:tr>
      <w:tr w:rsidR="002E77EF" w:rsidRPr="008D5D1B" w14:paraId="6D8412B0" w14:textId="77777777" w:rsidTr="0099019C">
        <w:trPr>
          <w:jc w:val="center"/>
        </w:trPr>
        <w:tc>
          <w:tcPr>
            <w:tcW w:w="209" w:type="pct"/>
            <w:vMerge/>
            <w:vAlign w:val="center"/>
            <w:hideMark/>
          </w:tcPr>
          <w:p w14:paraId="6D8412A9" w14:textId="77777777" w:rsidR="002E77EF" w:rsidRPr="008D5D1B" w:rsidRDefault="002E77EF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03" w:type="pct"/>
            <w:vMerge/>
            <w:vAlign w:val="center"/>
            <w:hideMark/>
          </w:tcPr>
          <w:p w14:paraId="6D8412AA" w14:textId="77777777" w:rsidR="002E77EF" w:rsidRPr="008D5D1B" w:rsidRDefault="002E77EF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91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2AB" w14:textId="77777777" w:rsidR="002E77EF" w:rsidRPr="008D5D1B" w:rsidRDefault="002E77EF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Objava materijala vezanih uz financijske usluge.</w:t>
            </w:r>
          </w:p>
        </w:tc>
        <w:tc>
          <w:tcPr>
            <w:tcW w:w="1169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2AC" w14:textId="77777777" w:rsidR="002E77EF" w:rsidRPr="008D5D1B" w:rsidRDefault="002E77EF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HANFA</w:t>
            </w:r>
          </w:p>
        </w:tc>
        <w:tc>
          <w:tcPr>
            <w:tcW w:w="475" w:type="pct"/>
            <w:vMerge/>
            <w:vAlign w:val="center"/>
            <w:hideMark/>
          </w:tcPr>
          <w:p w14:paraId="6D8412AD" w14:textId="77777777" w:rsidR="002E77EF" w:rsidRPr="008D5D1B" w:rsidRDefault="002E77EF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14:paraId="6D8412AE" w14:textId="77777777" w:rsidR="002E77EF" w:rsidRPr="008D5D1B" w:rsidRDefault="002E77EF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25" w:type="pct"/>
            <w:vMerge/>
            <w:vAlign w:val="center"/>
            <w:hideMark/>
          </w:tcPr>
          <w:p w14:paraId="6D8412AF" w14:textId="77777777" w:rsidR="002E77EF" w:rsidRPr="008D5D1B" w:rsidRDefault="002E77EF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</w:tr>
      <w:tr w:rsidR="002E77EF" w:rsidRPr="008D5D1B" w14:paraId="6D8412B8" w14:textId="77777777" w:rsidTr="0099019C">
        <w:trPr>
          <w:jc w:val="center"/>
        </w:trPr>
        <w:tc>
          <w:tcPr>
            <w:tcW w:w="209" w:type="pct"/>
            <w:vMerge/>
            <w:vAlign w:val="center"/>
            <w:hideMark/>
          </w:tcPr>
          <w:p w14:paraId="6D8412B1" w14:textId="77777777" w:rsidR="002E77EF" w:rsidRPr="008D5D1B" w:rsidRDefault="002E77EF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03" w:type="pct"/>
            <w:vMerge/>
            <w:vAlign w:val="center"/>
            <w:hideMark/>
          </w:tcPr>
          <w:p w14:paraId="6D8412B2" w14:textId="77777777" w:rsidR="002E77EF" w:rsidRPr="008D5D1B" w:rsidRDefault="002E77EF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91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2B3" w14:textId="77777777" w:rsidR="002E77EF" w:rsidRPr="008D5D1B" w:rsidRDefault="002E77EF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Izdavanje brošure i informativnih materijala o financijskoj pismenosti na području osiguranja te njihova objava na internetskoj stranici.</w:t>
            </w:r>
          </w:p>
        </w:tc>
        <w:tc>
          <w:tcPr>
            <w:tcW w:w="1169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2B4" w14:textId="77777777" w:rsidR="002E77EF" w:rsidRPr="008D5D1B" w:rsidRDefault="002E77EF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HUO</w:t>
            </w:r>
          </w:p>
        </w:tc>
        <w:tc>
          <w:tcPr>
            <w:tcW w:w="475" w:type="pct"/>
            <w:vMerge/>
            <w:vAlign w:val="center"/>
            <w:hideMark/>
          </w:tcPr>
          <w:p w14:paraId="6D8412B5" w14:textId="77777777" w:rsidR="002E77EF" w:rsidRPr="008D5D1B" w:rsidRDefault="002E77EF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14:paraId="6D8412B6" w14:textId="77777777" w:rsidR="002E77EF" w:rsidRPr="008D5D1B" w:rsidRDefault="002E77EF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25" w:type="pct"/>
            <w:vMerge/>
            <w:vAlign w:val="center"/>
            <w:hideMark/>
          </w:tcPr>
          <w:p w14:paraId="6D8412B7" w14:textId="77777777" w:rsidR="002E77EF" w:rsidRPr="008D5D1B" w:rsidRDefault="002E77EF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</w:tr>
      <w:tr w:rsidR="002E77EF" w:rsidRPr="008D5D1B" w14:paraId="6D8412C3" w14:textId="77777777" w:rsidTr="0099019C">
        <w:trPr>
          <w:jc w:val="center"/>
        </w:trPr>
        <w:tc>
          <w:tcPr>
            <w:tcW w:w="209" w:type="pct"/>
            <w:vMerge/>
            <w:vAlign w:val="center"/>
          </w:tcPr>
          <w:p w14:paraId="6D8412B9" w14:textId="77777777" w:rsidR="002E77EF" w:rsidRPr="008D5D1B" w:rsidRDefault="002E77EF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03" w:type="pct"/>
            <w:vMerge/>
            <w:vAlign w:val="center"/>
          </w:tcPr>
          <w:p w14:paraId="6D8412BA" w14:textId="77777777" w:rsidR="002E77EF" w:rsidRPr="008D5D1B" w:rsidRDefault="002E77EF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91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2BB" w14:textId="77777777" w:rsidR="002E77EF" w:rsidRPr="008D5D1B" w:rsidRDefault="002E77EF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Izdavanje edukativnog materijala</w:t>
            </w: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 za mlade koji po prvi puta</w:t>
            </w: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 ulaze na tržište rada te </w:t>
            </w: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objava na internetskoj stranici.</w:t>
            </w:r>
          </w:p>
        </w:tc>
        <w:tc>
          <w:tcPr>
            <w:tcW w:w="1169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2BC" w14:textId="77777777" w:rsidR="002E77EF" w:rsidRDefault="002E77EF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2BD" w14:textId="77777777" w:rsidR="002E77EF" w:rsidRDefault="002E77EF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MFIN, MINGPO, MIZ, MZO, AZOO, HANFA, HNB, HGK, HUO, HUB, ZSE, HUP, UMFO, </w:t>
            </w: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EFZG, </w:t>
            </w: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ŠTEDOPIS </w:t>
            </w:r>
          </w:p>
          <w:p w14:paraId="6D8412BE" w14:textId="77777777" w:rsidR="002E77EF" w:rsidRPr="008D5D1B" w:rsidRDefault="002E77EF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2BF" w14:textId="77777777" w:rsidR="002E77EF" w:rsidRPr="008D5D1B" w:rsidRDefault="002E77EF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47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2C0" w14:textId="77777777" w:rsidR="002E77EF" w:rsidRPr="008D5D1B" w:rsidRDefault="002E77EF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I</w:t>
            </w: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I</w:t>
            </w: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. kvartal</w:t>
            </w:r>
          </w:p>
        </w:tc>
        <w:tc>
          <w:tcPr>
            <w:tcW w:w="604" w:type="pct"/>
            <w:vMerge/>
            <w:vAlign w:val="center"/>
          </w:tcPr>
          <w:p w14:paraId="6D8412C1" w14:textId="77777777" w:rsidR="002E77EF" w:rsidRPr="008D5D1B" w:rsidRDefault="002E77EF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25" w:type="pct"/>
            <w:vMerge/>
            <w:vAlign w:val="center"/>
          </w:tcPr>
          <w:p w14:paraId="6D8412C2" w14:textId="77777777" w:rsidR="002E77EF" w:rsidRPr="008D5D1B" w:rsidRDefault="002E77EF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</w:tr>
      <w:tr w:rsidR="002E77EF" w:rsidRPr="008D5D1B" w14:paraId="6D8412CB" w14:textId="77777777" w:rsidTr="0099019C">
        <w:trPr>
          <w:jc w:val="center"/>
        </w:trPr>
        <w:tc>
          <w:tcPr>
            <w:tcW w:w="209" w:type="pct"/>
            <w:vMerge/>
            <w:vAlign w:val="center"/>
            <w:hideMark/>
          </w:tcPr>
          <w:p w14:paraId="6D8412C4" w14:textId="77777777" w:rsidR="002E77EF" w:rsidRPr="008D5D1B" w:rsidRDefault="002E77EF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03" w:type="pct"/>
            <w:vMerge/>
            <w:vAlign w:val="center"/>
            <w:hideMark/>
          </w:tcPr>
          <w:p w14:paraId="6D8412C5" w14:textId="77777777" w:rsidR="002E77EF" w:rsidRPr="008D5D1B" w:rsidRDefault="002E77EF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91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2C6" w14:textId="77777777" w:rsidR="002E77EF" w:rsidRPr="008D5D1B" w:rsidRDefault="002E77EF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Izdavanje edukativnih materijala u kojima se opisuju pojmovi iz područja mirovinskih fondova i mirovinskog sustava.</w:t>
            </w:r>
          </w:p>
        </w:tc>
        <w:tc>
          <w:tcPr>
            <w:tcW w:w="1169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2C7" w14:textId="77777777" w:rsidR="002E77EF" w:rsidRPr="008D5D1B" w:rsidRDefault="002E77EF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UMFO</w:t>
            </w:r>
          </w:p>
        </w:tc>
        <w:tc>
          <w:tcPr>
            <w:tcW w:w="47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2C8" w14:textId="77777777" w:rsidR="002E77EF" w:rsidRPr="008D5D1B" w:rsidRDefault="002E77EF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II. kvartal</w:t>
            </w:r>
          </w:p>
        </w:tc>
        <w:tc>
          <w:tcPr>
            <w:tcW w:w="604" w:type="pct"/>
            <w:vMerge/>
            <w:vAlign w:val="center"/>
            <w:hideMark/>
          </w:tcPr>
          <w:p w14:paraId="6D8412C9" w14:textId="77777777" w:rsidR="002E77EF" w:rsidRPr="008D5D1B" w:rsidRDefault="002E77EF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25" w:type="pct"/>
            <w:vMerge/>
            <w:vAlign w:val="center"/>
            <w:hideMark/>
          </w:tcPr>
          <w:p w14:paraId="6D8412CA" w14:textId="77777777" w:rsidR="002E77EF" w:rsidRPr="008D5D1B" w:rsidRDefault="002E77EF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</w:tr>
      <w:tr w:rsidR="002E77EF" w:rsidRPr="008D5D1B" w14:paraId="6D8412D3" w14:textId="77777777" w:rsidTr="0099019C">
        <w:trPr>
          <w:jc w:val="center"/>
        </w:trPr>
        <w:tc>
          <w:tcPr>
            <w:tcW w:w="209" w:type="pct"/>
            <w:vMerge/>
            <w:vAlign w:val="center"/>
          </w:tcPr>
          <w:p w14:paraId="6D8412CC" w14:textId="77777777" w:rsidR="002E77EF" w:rsidRPr="008D5D1B" w:rsidRDefault="002E77EF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03" w:type="pct"/>
            <w:vMerge/>
            <w:vAlign w:val="center"/>
          </w:tcPr>
          <w:p w14:paraId="6D8412CD" w14:textId="77777777" w:rsidR="002E77EF" w:rsidRPr="008D5D1B" w:rsidRDefault="002E77EF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91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2CE" w14:textId="77777777" w:rsidR="002E77EF" w:rsidRPr="008D5D1B" w:rsidRDefault="002E77EF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BE5643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HUB je pokrovitelj tiskane publikacije „Vodič kroz osobne financije“ koja će biti objavljena 2019. godine i biti dostupna na raznim prodajnim mjestima u Republici Hrvatskoj. Također, HUB će organizirati prigodno predstavljanje tiskane publikacije te na taj način dodatno promovirati „Vodič kroz osobne financije“.</w:t>
            </w:r>
          </w:p>
        </w:tc>
        <w:tc>
          <w:tcPr>
            <w:tcW w:w="1169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2CF" w14:textId="77777777" w:rsidR="002E77EF" w:rsidRPr="008D5D1B" w:rsidRDefault="002E77EF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HUB</w:t>
            </w:r>
          </w:p>
        </w:tc>
        <w:tc>
          <w:tcPr>
            <w:tcW w:w="47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2D0" w14:textId="77777777" w:rsidR="002E77EF" w:rsidRPr="008D5D1B" w:rsidRDefault="002E77EF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I</w:t>
            </w:r>
            <w:r w:rsidR="00413D5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I</w:t>
            </w: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. kvartal</w:t>
            </w:r>
          </w:p>
        </w:tc>
        <w:tc>
          <w:tcPr>
            <w:tcW w:w="604" w:type="pct"/>
            <w:vMerge/>
            <w:vAlign w:val="center"/>
          </w:tcPr>
          <w:p w14:paraId="6D8412D1" w14:textId="77777777" w:rsidR="002E77EF" w:rsidRPr="008D5D1B" w:rsidRDefault="002E77EF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25" w:type="pct"/>
            <w:vAlign w:val="center"/>
          </w:tcPr>
          <w:p w14:paraId="6D8412D2" w14:textId="77777777" w:rsidR="002E77EF" w:rsidRPr="008D5D1B" w:rsidRDefault="002E77EF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BE5643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Broj  tiskanih publikacija i  predstavljanja.</w:t>
            </w:r>
          </w:p>
        </w:tc>
      </w:tr>
      <w:tr w:rsidR="002E77EF" w:rsidRPr="008D5D1B" w14:paraId="6D8412F1" w14:textId="77777777" w:rsidTr="0099019C">
        <w:trPr>
          <w:jc w:val="center"/>
        </w:trPr>
        <w:tc>
          <w:tcPr>
            <w:tcW w:w="209" w:type="pct"/>
            <w:vMerge/>
            <w:vAlign w:val="center"/>
          </w:tcPr>
          <w:p w14:paraId="6D8412D4" w14:textId="77777777" w:rsidR="002E77EF" w:rsidRPr="008D5D1B" w:rsidRDefault="002E77EF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03" w:type="pct"/>
            <w:vMerge/>
            <w:vAlign w:val="center"/>
          </w:tcPr>
          <w:p w14:paraId="6D8412D5" w14:textId="77777777" w:rsidR="002E77EF" w:rsidRPr="008D5D1B" w:rsidRDefault="002E77EF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91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2D6" w14:textId="77777777" w:rsidR="002E77EF" w:rsidRPr="008D5D1B" w:rsidRDefault="002E77EF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Izrada edukativnih materijala i programa za edukaciju potrošača. Izrada online brošura na temu prava potrošača korisnika financijskih i javnih usluga.</w:t>
            </w:r>
          </w:p>
        </w:tc>
        <w:tc>
          <w:tcPr>
            <w:tcW w:w="1169" w:type="pct"/>
            <w:vMerge w:val="restar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2D7" w14:textId="77777777" w:rsidR="002E77EF" w:rsidRDefault="002E77EF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2D8" w14:textId="77777777" w:rsidR="002E77EF" w:rsidRDefault="002E77EF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2D9" w14:textId="77777777" w:rsidR="002E77EF" w:rsidRDefault="002E77EF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2DA" w14:textId="77777777" w:rsidR="002E77EF" w:rsidRDefault="002E77EF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2DB" w14:textId="77777777" w:rsidR="002E77EF" w:rsidRDefault="002E77EF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2DC" w14:textId="77777777" w:rsidR="002E77EF" w:rsidRDefault="002E77EF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2DD" w14:textId="77777777" w:rsidR="002E77EF" w:rsidRDefault="002E77EF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2DE" w14:textId="77777777" w:rsidR="002E77EF" w:rsidRDefault="002E77EF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HIFE</w:t>
            </w:r>
          </w:p>
          <w:p w14:paraId="6D8412DF" w14:textId="77777777" w:rsidR="002E77EF" w:rsidRDefault="002E77EF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2E0" w14:textId="77777777" w:rsidR="002E77EF" w:rsidRDefault="002E77EF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2E1" w14:textId="77777777" w:rsidR="002E77EF" w:rsidRDefault="002E77EF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2E2" w14:textId="77777777" w:rsidR="002E77EF" w:rsidRDefault="002E77EF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2E3" w14:textId="77777777" w:rsidR="002E77EF" w:rsidRDefault="002E77EF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2E4" w14:textId="77777777" w:rsidR="002E77EF" w:rsidRDefault="002E77EF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2E5" w14:textId="77777777" w:rsidR="002E77EF" w:rsidRDefault="002E77EF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2E6" w14:textId="77777777" w:rsidR="002E77EF" w:rsidRDefault="002E77EF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2E7" w14:textId="77777777" w:rsidR="002E77EF" w:rsidRDefault="002E77EF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2E8" w14:textId="77777777" w:rsidR="002E77EF" w:rsidRDefault="002E77EF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2E9" w14:textId="77777777" w:rsidR="002E77EF" w:rsidRDefault="002E77EF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2EA" w14:textId="77777777" w:rsidR="002E77EF" w:rsidRDefault="002E77EF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2EB" w14:textId="77777777" w:rsidR="002E77EF" w:rsidRDefault="002E77EF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2EC" w14:textId="77777777" w:rsidR="002E77EF" w:rsidRDefault="002E77EF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2ED" w14:textId="77777777" w:rsidR="002E77EF" w:rsidRPr="008D5D1B" w:rsidRDefault="002E77EF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47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2EE" w14:textId="77777777" w:rsidR="002E77EF" w:rsidRPr="008D5D1B" w:rsidRDefault="002E77EF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Kontinuirano</w:t>
            </w:r>
          </w:p>
        </w:tc>
        <w:tc>
          <w:tcPr>
            <w:tcW w:w="604" w:type="pct"/>
            <w:vMerge/>
            <w:vAlign w:val="center"/>
          </w:tcPr>
          <w:p w14:paraId="6D8412EF" w14:textId="77777777" w:rsidR="002E77EF" w:rsidRPr="008D5D1B" w:rsidRDefault="002E77EF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25" w:type="pct"/>
            <w:vAlign w:val="center"/>
          </w:tcPr>
          <w:p w14:paraId="6D8412F0" w14:textId="77777777" w:rsidR="002E77EF" w:rsidRPr="008D5D1B" w:rsidRDefault="002E77EF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Broj programa i edukativnih materijala, broj informiranih potrošača.</w:t>
            </w:r>
          </w:p>
        </w:tc>
      </w:tr>
      <w:tr w:rsidR="002E77EF" w:rsidRPr="008D5D1B" w14:paraId="6D8412FA" w14:textId="77777777" w:rsidTr="0099019C">
        <w:trPr>
          <w:jc w:val="center"/>
        </w:trPr>
        <w:tc>
          <w:tcPr>
            <w:tcW w:w="209" w:type="pct"/>
            <w:vMerge/>
            <w:vAlign w:val="center"/>
          </w:tcPr>
          <w:p w14:paraId="6D8412F2" w14:textId="77777777" w:rsidR="002E77EF" w:rsidRPr="008D5D1B" w:rsidRDefault="002E77EF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03" w:type="pct"/>
            <w:vMerge/>
            <w:vAlign w:val="center"/>
          </w:tcPr>
          <w:p w14:paraId="6D8412F3" w14:textId="77777777" w:rsidR="002E77EF" w:rsidRPr="008D5D1B" w:rsidRDefault="002E77EF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91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2F4" w14:textId="77777777" w:rsidR="002E77EF" w:rsidRPr="005F2EBD" w:rsidRDefault="002E77EF" w:rsidP="005F2EBD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5F2EBD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Objava relevantnih informacija na internetskoj stranici u svezi s financijskom pismenosti </w:t>
            </w: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potrošača te njezino ažuriranje i nadogradnja -</w:t>
            </w:r>
          </w:p>
          <w:p w14:paraId="6D8412F5" w14:textId="77777777" w:rsidR="002E77EF" w:rsidRPr="008D5D1B" w:rsidRDefault="002E77EF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5F2EBD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www.hife.hr</w:t>
            </w:r>
          </w:p>
        </w:tc>
        <w:tc>
          <w:tcPr>
            <w:tcW w:w="1169" w:type="pct"/>
            <w:vMerge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2F6" w14:textId="77777777" w:rsidR="002E77EF" w:rsidRPr="008D5D1B" w:rsidRDefault="002E77EF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47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2F7" w14:textId="77777777" w:rsidR="002E77EF" w:rsidRPr="008D5D1B" w:rsidRDefault="002E77EF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Kontinuirano</w:t>
            </w:r>
          </w:p>
        </w:tc>
        <w:tc>
          <w:tcPr>
            <w:tcW w:w="604" w:type="pct"/>
            <w:vMerge/>
            <w:vAlign w:val="center"/>
          </w:tcPr>
          <w:p w14:paraId="6D8412F8" w14:textId="77777777" w:rsidR="002E77EF" w:rsidRPr="008D5D1B" w:rsidRDefault="002E77EF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25" w:type="pct"/>
            <w:vAlign w:val="center"/>
          </w:tcPr>
          <w:p w14:paraId="6D8412F9" w14:textId="77777777" w:rsidR="002E77EF" w:rsidRPr="008D5D1B" w:rsidRDefault="002E77EF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4E0BDA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Broj pregleda i objavljenih sadržaja</w:t>
            </w:r>
          </w:p>
        </w:tc>
      </w:tr>
      <w:tr w:rsidR="002E77EF" w:rsidRPr="008D5D1B" w14:paraId="6D841303" w14:textId="77777777" w:rsidTr="0099019C">
        <w:trPr>
          <w:jc w:val="center"/>
        </w:trPr>
        <w:tc>
          <w:tcPr>
            <w:tcW w:w="209" w:type="pct"/>
            <w:vMerge/>
            <w:vAlign w:val="center"/>
          </w:tcPr>
          <w:p w14:paraId="6D8412FB" w14:textId="77777777" w:rsidR="002E77EF" w:rsidRPr="008D5D1B" w:rsidRDefault="002E77EF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03" w:type="pct"/>
            <w:vMerge/>
            <w:vAlign w:val="center"/>
          </w:tcPr>
          <w:p w14:paraId="6D8412FC" w14:textId="77777777" w:rsidR="002E77EF" w:rsidRPr="008D5D1B" w:rsidRDefault="002E77EF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91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2FD" w14:textId="77777777" w:rsidR="002E77EF" w:rsidRPr="005F2EBD" w:rsidRDefault="002E77EF" w:rsidP="00615D1F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5F2EBD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Nastavak realizacije projekata:</w:t>
            </w: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 </w:t>
            </w:r>
            <w:r w:rsidRPr="00615D1F">
              <w:rPr>
                <w:rFonts w:ascii="Arial Narrow" w:eastAsia="Times New Roman" w:hAnsi="Arial Narrow" w:cs="Times New Roman"/>
                <w:i/>
                <w:color w:val="666666"/>
                <w:sz w:val="20"/>
                <w:szCs w:val="20"/>
                <w:lang w:eastAsia="hr-HR"/>
              </w:rPr>
              <w:t>„Abeceda financija za mlade“; „Novac u književnosti“</w:t>
            </w: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; i</w:t>
            </w:r>
          </w:p>
          <w:p w14:paraId="6D8412FE" w14:textId="77777777" w:rsidR="002E77EF" w:rsidRPr="005F2EBD" w:rsidRDefault="002E77EF" w:rsidP="005F2EBD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„</w:t>
            </w:r>
            <w:r w:rsidRPr="00615D1F">
              <w:rPr>
                <w:rFonts w:ascii="Arial Narrow" w:eastAsia="Times New Roman" w:hAnsi="Arial Narrow" w:cs="Times New Roman"/>
                <w:i/>
                <w:color w:val="666666"/>
                <w:sz w:val="20"/>
                <w:szCs w:val="20"/>
                <w:lang w:eastAsia="hr-HR"/>
              </w:rPr>
              <w:t>Abeceda odgovornosti potrošača“.</w:t>
            </w:r>
          </w:p>
        </w:tc>
        <w:tc>
          <w:tcPr>
            <w:tcW w:w="1169" w:type="pct"/>
            <w:vMerge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2FF" w14:textId="77777777" w:rsidR="002E77EF" w:rsidRDefault="002E77EF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47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300" w14:textId="77777777" w:rsidR="002E77EF" w:rsidRDefault="002E77EF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Kontinuirano</w:t>
            </w:r>
          </w:p>
        </w:tc>
        <w:tc>
          <w:tcPr>
            <w:tcW w:w="604" w:type="pct"/>
            <w:vMerge/>
            <w:vAlign w:val="center"/>
          </w:tcPr>
          <w:p w14:paraId="6D841301" w14:textId="77777777" w:rsidR="002E77EF" w:rsidRPr="008D5D1B" w:rsidRDefault="002E77EF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25" w:type="pct"/>
            <w:vAlign w:val="center"/>
          </w:tcPr>
          <w:p w14:paraId="6D841302" w14:textId="77777777" w:rsidR="002E77EF" w:rsidRPr="008D5D1B" w:rsidRDefault="002E77EF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4E0BDA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Broj održanih radionica i objavljenih tekstova na temu „</w:t>
            </w:r>
            <w:r w:rsidRPr="00615D1F">
              <w:rPr>
                <w:rFonts w:ascii="Arial Narrow" w:eastAsia="Times New Roman" w:hAnsi="Arial Narrow" w:cs="Times New Roman"/>
                <w:i/>
                <w:color w:val="666666"/>
                <w:sz w:val="20"/>
                <w:szCs w:val="20"/>
                <w:lang w:eastAsia="hr-HR"/>
              </w:rPr>
              <w:t>Novac u književnosti“</w:t>
            </w:r>
            <w:r w:rsidRPr="004E0BDA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, broj polaznika te povratna informacija.</w:t>
            </w:r>
          </w:p>
        </w:tc>
      </w:tr>
      <w:tr w:rsidR="002E77EF" w:rsidRPr="008D5D1B" w14:paraId="6D84130B" w14:textId="77777777" w:rsidTr="0099019C">
        <w:trPr>
          <w:jc w:val="center"/>
        </w:trPr>
        <w:tc>
          <w:tcPr>
            <w:tcW w:w="209" w:type="pct"/>
            <w:vMerge/>
            <w:vAlign w:val="center"/>
          </w:tcPr>
          <w:p w14:paraId="6D841304" w14:textId="77777777" w:rsidR="002E77EF" w:rsidRPr="008D5D1B" w:rsidRDefault="002E77EF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03" w:type="pct"/>
            <w:vMerge/>
            <w:vAlign w:val="center"/>
          </w:tcPr>
          <w:p w14:paraId="6D841305" w14:textId="77777777" w:rsidR="002E77EF" w:rsidRPr="008D5D1B" w:rsidRDefault="002E77EF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91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306" w14:textId="77777777" w:rsidR="002E77EF" w:rsidRPr="005F2EBD" w:rsidRDefault="002E77EF" w:rsidP="005F2EBD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4E0BDA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Objava sadržaja za financijsku edukaciju primjenom napredne 3D tehnologije virtualnih šetnja</w:t>
            </w: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69" w:type="pct"/>
            <w:vMerge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307" w14:textId="77777777" w:rsidR="002E77EF" w:rsidRDefault="002E77EF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47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308" w14:textId="77777777" w:rsidR="002E77EF" w:rsidRDefault="002E77EF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Kontinuirano</w:t>
            </w:r>
          </w:p>
        </w:tc>
        <w:tc>
          <w:tcPr>
            <w:tcW w:w="604" w:type="pct"/>
            <w:vMerge/>
            <w:vAlign w:val="center"/>
          </w:tcPr>
          <w:p w14:paraId="6D841309" w14:textId="77777777" w:rsidR="002E77EF" w:rsidRPr="008D5D1B" w:rsidRDefault="002E77EF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25" w:type="pct"/>
            <w:vAlign w:val="center"/>
          </w:tcPr>
          <w:p w14:paraId="6D84130A" w14:textId="77777777" w:rsidR="002E77EF" w:rsidRPr="004E0BDA" w:rsidRDefault="002E77EF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4E0BDA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Broj objavljenih snimaka</w:t>
            </w:r>
          </w:p>
        </w:tc>
      </w:tr>
      <w:tr w:rsidR="002E77EF" w:rsidRPr="008D5D1B" w14:paraId="6D841314" w14:textId="77777777" w:rsidTr="0099019C">
        <w:trPr>
          <w:trHeight w:val="1910"/>
          <w:jc w:val="center"/>
        </w:trPr>
        <w:tc>
          <w:tcPr>
            <w:tcW w:w="209" w:type="pct"/>
            <w:vMerge/>
            <w:vAlign w:val="center"/>
          </w:tcPr>
          <w:p w14:paraId="6D84130C" w14:textId="77777777" w:rsidR="002E77EF" w:rsidRPr="008D5D1B" w:rsidRDefault="002E77EF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03" w:type="pct"/>
            <w:vMerge/>
            <w:vAlign w:val="center"/>
          </w:tcPr>
          <w:p w14:paraId="6D84130D" w14:textId="77777777" w:rsidR="002E77EF" w:rsidRPr="008D5D1B" w:rsidRDefault="002E77EF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91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30E" w14:textId="77777777" w:rsidR="002E77EF" w:rsidRPr="004E0BDA" w:rsidRDefault="002E77EF" w:rsidP="003B2259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Izrada </w:t>
            </w:r>
            <w:r w:rsidRPr="00F855A6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edukativni</w:t>
            </w: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h materijala i objava na internetskim por</w:t>
            </w:r>
            <w:r w:rsidRPr="00F855A6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talima sa sadržajem o primanjima umirovljenika s osnove rada i njihovih redovnih mi</w:t>
            </w: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rovinskih primanja. Suradnja s </w:t>
            </w:r>
            <w:r w:rsidRPr="00F855A6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udruženi</w:t>
            </w: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m</w:t>
            </w:r>
            <w:r w:rsidRPr="00F855A6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 sindikat</w:t>
            </w: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om</w:t>
            </w:r>
            <w:r w:rsidRPr="00F855A6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 SUH -</w:t>
            </w:r>
            <w:r w:rsidRPr="003B2259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Sindikat umirovljenika Hrvatske. </w:t>
            </w:r>
            <w:r w:rsidRPr="00F855A6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169" w:type="pct"/>
            <w:vMerge w:val="restar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30F" w14:textId="77777777" w:rsidR="002E77EF" w:rsidRDefault="002E77EF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SSSH</w:t>
            </w:r>
          </w:p>
        </w:tc>
        <w:tc>
          <w:tcPr>
            <w:tcW w:w="475" w:type="pct"/>
            <w:vMerge w:val="restar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310" w14:textId="77777777" w:rsidR="002E77EF" w:rsidRDefault="002E77EF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Kontinuirano</w:t>
            </w:r>
          </w:p>
        </w:tc>
        <w:tc>
          <w:tcPr>
            <w:tcW w:w="604" w:type="pct"/>
            <w:vMerge/>
            <w:vAlign w:val="center"/>
          </w:tcPr>
          <w:p w14:paraId="6D841311" w14:textId="77777777" w:rsidR="002E77EF" w:rsidRPr="008D5D1B" w:rsidRDefault="002E77EF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25" w:type="pct"/>
            <w:vMerge w:val="restart"/>
            <w:vAlign w:val="center"/>
          </w:tcPr>
          <w:p w14:paraId="6D841312" w14:textId="77777777" w:rsidR="002E77EF" w:rsidRPr="00F855A6" w:rsidRDefault="002E77EF" w:rsidP="00F855A6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Broj izrađenih edukativnih materijala i publikacija, broj objava na portalima, te b</w:t>
            </w:r>
            <w:r w:rsidRPr="00F855A6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roj savjeta članovima SUH-a (korisnika).</w:t>
            </w:r>
          </w:p>
          <w:p w14:paraId="6D841313" w14:textId="77777777" w:rsidR="002E77EF" w:rsidRPr="004E0BDA" w:rsidRDefault="002E77EF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</w:tr>
      <w:tr w:rsidR="002E77EF" w:rsidRPr="008D5D1B" w14:paraId="6D84131C" w14:textId="77777777" w:rsidTr="00C63A01">
        <w:trPr>
          <w:trHeight w:val="1340"/>
          <w:jc w:val="center"/>
        </w:trPr>
        <w:tc>
          <w:tcPr>
            <w:tcW w:w="209" w:type="pct"/>
            <w:vMerge/>
            <w:vAlign w:val="center"/>
          </w:tcPr>
          <w:p w14:paraId="6D841315" w14:textId="77777777" w:rsidR="002E77EF" w:rsidRPr="008D5D1B" w:rsidRDefault="002E77EF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03" w:type="pct"/>
            <w:vMerge/>
            <w:vAlign w:val="center"/>
          </w:tcPr>
          <w:p w14:paraId="6D841316" w14:textId="77777777" w:rsidR="002E77EF" w:rsidRPr="008D5D1B" w:rsidRDefault="002E77EF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91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317" w14:textId="77777777" w:rsidR="002E77EF" w:rsidRDefault="002E77EF" w:rsidP="003B2259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Izrada edukativnih materijala za mlade o sindikalnom organiziranju i radnim pravima</w:t>
            </w:r>
          </w:p>
        </w:tc>
        <w:tc>
          <w:tcPr>
            <w:tcW w:w="1169" w:type="pct"/>
            <w:vMerge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318" w14:textId="77777777" w:rsidR="002E77EF" w:rsidRDefault="002E77EF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475" w:type="pct"/>
            <w:vMerge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319" w14:textId="77777777" w:rsidR="002E77EF" w:rsidRDefault="002E77EF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604" w:type="pct"/>
            <w:vMerge/>
            <w:vAlign w:val="center"/>
          </w:tcPr>
          <w:p w14:paraId="6D84131A" w14:textId="77777777" w:rsidR="002E77EF" w:rsidRPr="008D5D1B" w:rsidRDefault="002E77EF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25" w:type="pct"/>
            <w:vMerge/>
            <w:vAlign w:val="center"/>
          </w:tcPr>
          <w:p w14:paraId="6D84131B" w14:textId="77777777" w:rsidR="002E77EF" w:rsidRDefault="002E77EF" w:rsidP="00F855A6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</w:tr>
      <w:tr w:rsidR="002E77EF" w:rsidRPr="008D5D1B" w14:paraId="6D841325" w14:textId="77777777" w:rsidTr="0099019C">
        <w:trPr>
          <w:trHeight w:val="402"/>
          <w:jc w:val="center"/>
        </w:trPr>
        <w:tc>
          <w:tcPr>
            <w:tcW w:w="209" w:type="pct"/>
            <w:vMerge/>
            <w:vAlign w:val="center"/>
          </w:tcPr>
          <w:p w14:paraId="6D84131D" w14:textId="77777777" w:rsidR="002E77EF" w:rsidRPr="008D5D1B" w:rsidRDefault="002E77EF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03" w:type="pct"/>
            <w:vMerge/>
            <w:vAlign w:val="center"/>
          </w:tcPr>
          <w:p w14:paraId="6D84131E" w14:textId="77777777" w:rsidR="002E77EF" w:rsidRPr="008D5D1B" w:rsidRDefault="002E77EF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91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31F" w14:textId="77777777" w:rsidR="002E77EF" w:rsidRDefault="002E77EF" w:rsidP="003B2259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3B2259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SSSH za financijsku edukaciju svojih članova, uglavnom sindikalnih povjerenika, članova Radničkih vijeća i sindikalnih povje</w:t>
            </w: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renika za zaštitu na radu planira izrađivati edukativne publikacije.</w:t>
            </w:r>
          </w:p>
          <w:p w14:paraId="6D841320" w14:textId="77777777" w:rsidR="009A5226" w:rsidRDefault="009A5226" w:rsidP="003B2259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1169" w:type="pct"/>
            <w:vMerge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321" w14:textId="77777777" w:rsidR="002E77EF" w:rsidRDefault="002E77EF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475" w:type="pct"/>
            <w:vMerge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322" w14:textId="77777777" w:rsidR="002E77EF" w:rsidRDefault="002E77EF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604" w:type="pct"/>
            <w:vMerge/>
            <w:vAlign w:val="center"/>
          </w:tcPr>
          <w:p w14:paraId="6D841323" w14:textId="77777777" w:rsidR="002E77EF" w:rsidRPr="008D5D1B" w:rsidRDefault="002E77EF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25" w:type="pct"/>
            <w:vMerge/>
            <w:vAlign w:val="center"/>
          </w:tcPr>
          <w:p w14:paraId="6D841324" w14:textId="77777777" w:rsidR="002E77EF" w:rsidRDefault="002E77EF" w:rsidP="00F855A6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</w:tr>
      <w:tr w:rsidR="002E77EF" w:rsidRPr="008D5D1B" w14:paraId="6D841333" w14:textId="77777777" w:rsidTr="0099019C">
        <w:trPr>
          <w:jc w:val="center"/>
        </w:trPr>
        <w:tc>
          <w:tcPr>
            <w:tcW w:w="209" w:type="pct"/>
            <w:vMerge/>
            <w:vAlign w:val="center"/>
          </w:tcPr>
          <w:p w14:paraId="6D841326" w14:textId="77777777" w:rsidR="002E77EF" w:rsidRPr="008D5D1B" w:rsidRDefault="002E77EF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03" w:type="pct"/>
            <w:vMerge/>
            <w:vAlign w:val="center"/>
          </w:tcPr>
          <w:p w14:paraId="6D841327" w14:textId="77777777" w:rsidR="002E77EF" w:rsidRPr="008D5D1B" w:rsidRDefault="002E77EF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91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328" w14:textId="77777777" w:rsidR="002E77EF" w:rsidRPr="008D5D1B" w:rsidRDefault="002E77EF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Projekt financijske pismenosti</w:t>
            </w: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, faza II, „Zašto (ni)ovo nismo učili u školi“, za građane 18+  i objava na internetskoj stranici.</w:t>
            </w:r>
          </w:p>
        </w:tc>
        <w:tc>
          <w:tcPr>
            <w:tcW w:w="1169" w:type="pct"/>
            <w:vMerge w:val="restar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329" w14:textId="77777777" w:rsidR="002E77EF" w:rsidRPr="008D5D1B" w:rsidRDefault="002E77EF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ŠTEDOPIS</w:t>
            </w:r>
          </w:p>
        </w:tc>
        <w:tc>
          <w:tcPr>
            <w:tcW w:w="47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32A" w14:textId="77777777" w:rsidR="002E77EF" w:rsidRPr="008D5D1B" w:rsidRDefault="002E77EF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IV. kvartal</w:t>
            </w:r>
          </w:p>
        </w:tc>
        <w:tc>
          <w:tcPr>
            <w:tcW w:w="604" w:type="pct"/>
            <w:vMerge/>
            <w:vAlign w:val="center"/>
          </w:tcPr>
          <w:p w14:paraId="6D84132B" w14:textId="77777777" w:rsidR="002E77EF" w:rsidRPr="008D5D1B" w:rsidRDefault="002E77EF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25" w:type="pct"/>
            <w:vMerge w:val="restart"/>
            <w:vAlign w:val="center"/>
          </w:tcPr>
          <w:p w14:paraId="6D84132C" w14:textId="77777777" w:rsidR="002E77EF" w:rsidRDefault="002E77EF" w:rsidP="00BF4B0E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Provedena II. faza projekta. Razvijen i nadograđen portal. </w:t>
            </w:r>
          </w:p>
          <w:p w14:paraId="6D84132D" w14:textId="77777777" w:rsidR="002E77EF" w:rsidRPr="008D5D1B" w:rsidRDefault="002E77EF" w:rsidP="00BF4B0E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Broj izrađenih, izdanih i objavljenih edukativnih materijala, publikacija;</w:t>
            </w:r>
          </w:p>
          <w:p w14:paraId="6D84132E" w14:textId="77777777" w:rsidR="002E77EF" w:rsidRPr="008D5D1B" w:rsidRDefault="002E77EF" w:rsidP="00BF4B0E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broj pregleda te preuzimanja materijala.</w:t>
            </w:r>
          </w:p>
          <w:p w14:paraId="6D84132F" w14:textId="77777777" w:rsidR="002E77EF" w:rsidRPr="008D5D1B" w:rsidRDefault="002E77EF" w:rsidP="00BF4B0E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30" w14:textId="77777777" w:rsidR="002E77EF" w:rsidRPr="008D5D1B" w:rsidRDefault="002E77EF" w:rsidP="002E6603">
            <w:pPr>
              <w:spacing w:after="0" w:line="336" w:lineRule="atLeast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31" w14:textId="77777777" w:rsidR="002E77EF" w:rsidRPr="008D5D1B" w:rsidRDefault="002E77EF" w:rsidP="002E6603">
            <w:pPr>
              <w:spacing w:after="0" w:line="336" w:lineRule="atLeast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32" w14:textId="77777777" w:rsidR="002E77EF" w:rsidRPr="008D5D1B" w:rsidRDefault="002E77EF" w:rsidP="002E6603">
            <w:pPr>
              <w:spacing w:after="0" w:line="336" w:lineRule="atLeast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</w:tr>
      <w:tr w:rsidR="002E77EF" w:rsidRPr="008D5D1B" w14:paraId="6D84133B" w14:textId="77777777" w:rsidTr="0099019C">
        <w:trPr>
          <w:jc w:val="center"/>
        </w:trPr>
        <w:tc>
          <w:tcPr>
            <w:tcW w:w="209" w:type="pct"/>
            <w:vMerge/>
            <w:vAlign w:val="center"/>
            <w:hideMark/>
          </w:tcPr>
          <w:p w14:paraId="6D841334" w14:textId="77777777" w:rsidR="002E77EF" w:rsidRPr="008D5D1B" w:rsidRDefault="002E77EF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03" w:type="pct"/>
            <w:vMerge/>
            <w:vAlign w:val="center"/>
            <w:hideMark/>
          </w:tcPr>
          <w:p w14:paraId="6D841335" w14:textId="77777777" w:rsidR="002E77EF" w:rsidRPr="008D5D1B" w:rsidRDefault="002E77EF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91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336" w14:textId="77777777" w:rsidR="002E77EF" w:rsidRPr="008D5D1B" w:rsidRDefault="002E77EF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Razvoj i nadogradnja portala i izrada više programa za edukaciju putem Interneta, objava relevantnih informacija na internetskoj stranici u svezi s financijskom pismenosti potrošača.</w:t>
            </w:r>
          </w:p>
        </w:tc>
        <w:tc>
          <w:tcPr>
            <w:tcW w:w="1169" w:type="pct"/>
            <w:vMerge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337" w14:textId="77777777" w:rsidR="002E77EF" w:rsidRPr="008D5D1B" w:rsidRDefault="002E77EF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47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338" w14:textId="77777777" w:rsidR="002E77EF" w:rsidRPr="008D5D1B" w:rsidRDefault="002E77EF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Kontinuirano</w:t>
            </w:r>
          </w:p>
        </w:tc>
        <w:tc>
          <w:tcPr>
            <w:tcW w:w="604" w:type="pct"/>
            <w:vMerge/>
            <w:vAlign w:val="center"/>
            <w:hideMark/>
          </w:tcPr>
          <w:p w14:paraId="6D841339" w14:textId="77777777" w:rsidR="002E77EF" w:rsidRPr="008D5D1B" w:rsidRDefault="002E77EF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25" w:type="pct"/>
            <w:vMerge/>
            <w:vAlign w:val="center"/>
            <w:hideMark/>
          </w:tcPr>
          <w:p w14:paraId="6D84133A" w14:textId="77777777" w:rsidR="002E77EF" w:rsidRPr="008D5D1B" w:rsidRDefault="002E77EF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</w:tr>
      <w:tr w:rsidR="002E77EF" w:rsidRPr="008D5D1B" w14:paraId="6D841343" w14:textId="77777777" w:rsidTr="0099019C">
        <w:trPr>
          <w:trHeight w:val="2426"/>
          <w:jc w:val="center"/>
        </w:trPr>
        <w:tc>
          <w:tcPr>
            <w:tcW w:w="209" w:type="pct"/>
            <w:vMerge/>
            <w:vAlign w:val="center"/>
          </w:tcPr>
          <w:p w14:paraId="6D84133C" w14:textId="77777777" w:rsidR="002E77EF" w:rsidRPr="008D5D1B" w:rsidRDefault="002E77EF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03" w:type="pct"/>
            <w:vMerge/>
            <w:vAlign w:val="center"/>
          </w:tcPr>
          <w:p w14:paraId="6D84133D" w14:textId="77777777" w:rsidR="002E77EF" w:rsidRPr="008D5D1B" w:rsidRDefault="002E77EF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91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33E" w14:textId="77777777" w:rsidR="002E77EF" w:rsidRPr="008D5D1B" w:rsidRDefault="002E77EF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Tiskanje i distribucija drugog izdanja besplatnog udžbenika »Moj novac, moja budućnost« namijenjenog učenicima srednje škole u skladu s kurikulumom Građanskog odgoja i obrazovanja.</w:t>
            </w:r>
          </w:p>
        </w:tc>
        <w:tc>
          <w:tcPr>
            <w:tcW w:w="1169" w:type="pct"/>
            <w:vMerge/>
            <w:vAlign w:val="center"/>
          </w:tcPr>
          <w:p w14:paraId="6D84133F" w14:textId="77777777" w:rsidR="002E77EF" w:rsidRPr="008D5D1B" w:rsidRDefault="002E77EF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47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340" w14:textId="77777777" w:rsidR="002E77EF" w:rsidRPr="008D5D1B" w:rsidRDefault="002E77EF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III. kvartal</w:t>
            </w:r>
          </w:p>
        </w:tc>
        <w:tc>
          <w:tcPr>
            <w:tcW w:w="604" w:type="pct"/>
            <w:vAlign w:val="center"/>
          </w:tcPr>
          <w:p w14:paraId="6D841341" w14:textId="77777777" w:rsidR="002E77EF" w:rsidRPr="008D5D1B" w:rsidRDefault="002E77EF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Vlastita sredstva</w:t>
            </w: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, MZO</w:t>
            </w:r>
          </w:p>
        </w:tc>
        <w:tc>
          <w:tcPr>
            <w:tcW w:w="825" w:type="pct"/>
            <w:vMerge/>
            <w:vAlign w:val="center"/>
          </w:tcPr>
          <w:p w14:paraId="6D841342" w14:textId="77777777" w:rsidR="002E77EF" w:rsidRPr="008D5D1B" w:rsidRDefault="002E77EF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</w:tr>
      <w:tr w:rsidR="00507133" w:rsidRPr="008D5D1B" w14:paraId="6D8413D7" w14:textId="77777777" w:rsidTr="00DA78E2">
        <w:trPr>
          <w:trHeight w:val="760"/>
          <w:jc w:val="center"/>
        </w:trPr>
        <w:tc>
          <w:tcPr>
            <w:tcW w:w="209" w:type="pct"/>
            <w:vMerge w:val="restar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344" w14:textId="77777777" w:rsidR="00507133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45" w14:textId="77777777" w:rsidR="00507133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46" w14:textId="77777777" w:rsidR="00507133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47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7.</w:t>
            </w:r>
          </w:p>
          <w:p w14:paraId="6D841348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49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4A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4B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4C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4D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4E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4F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50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51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52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53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54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55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56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57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58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59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5A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5B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5C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5D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5E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5F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60" w14:textId="77777777" w:rsidR="00507133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61" w14:textId="77777777" w:rsidR="00507133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62" w14:textId="77777777" w:rsidR="00507133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63" w14:textId="77777777" w:rsidR="00507133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64" w14:textId="77777777" w:rsidR="00507133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65" w14:textId="77777777" w:rsidR="00507133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66" w14:textId="77777777" w:rsidR="00507133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67" w14:textId="77777777" w:rsidR="00507133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68" w14:textId="77777777" w:rsidR="00507133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69" w14:textId="77777777" w:rsidR="00507133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6A" w14:textId="77777777" w:rsidR="00507133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6B" w14:textId="77777777" w:rsidR="00507133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6C" w14:textId="77777777" w:rsidR="00507133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6D" w14:textId="77777777" w:rsidR="00507133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6E" w14:textId="77777777" w:rsidR="00507133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6F" w14:textId="77777777" w:rsidR="00507133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70" w14:textId="77777777" w:rsidR="00507133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71" w14:textId="77777777" w:rsidR="00507133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72" w14:textId="77777777" w:rsidR="00507133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73" w14:textId="77777777" w:rsidR="00507133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74" w14:textId="77777777" w:rsidR="00507133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75" w14:textId="77777777" w:rsidR="00507133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76" w14:textId="77777777" w:rsidR="00507133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77" w14:textId="77777777" w:rsidR="00507133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78" w14:textId="77777777" w:rsidR="00507133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79" w14:textId="77777777" w:rsidR="00507133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7A" w14:textId="77777777" w:rsidR="00507133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7B" w14:textId="77777777" w:rsidR="00507133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7C" w14:textId="77777777" w:rsidR="00507133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7D" w14:textId="77777777" w:rsidR="00507133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7E" w14:textId="77777777" w:rsidR="00507133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7F" w14:textId="77777777" w:rsidR="00507133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80" w14:textId="77777777" w:rsidR="00507133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81" w14:textId="77777777" w:rsidR="00507133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82" w14:textId="77777777" w:rsidR="00507133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83" w14:textId="77777777" w:rsidR="00507133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84" w14:textId="77777777" w:rsidR="00507133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85" w14:textId="77777777" w:rsidR="00507133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86" w14:textId="77777777" w:rsidR="00507133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87" w14:textId="77777777" w:rsidR="00507133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88" w14:textId="77777777" w:rsidR="00507133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89" w14:textId="77777777" w:rsidR="00507133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8A" w14:textId="77777777" w:rsidR="00507133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8B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8C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8D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8E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8F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90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91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92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93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94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95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96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97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98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99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9A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9B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9C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9D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9E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03" w:type="pct"/>
            <w:vMerge w:val="restar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39F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A0" w14:textId="77777777" w:rsidR="00507133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A1" w14:textId="77777777" w:rsidR="00507133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A2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Suradnja s medijima i internetskim portalima.</w:t>
            </w:r>
          </w:p>
          <w:p w14:paraId="6D8413A3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A4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A5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A6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A7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A8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A9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AA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AB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AC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AD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AE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AF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B0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B1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B2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B3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B4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B5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B6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B7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B8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B9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BA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BB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BC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BD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BE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BF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C0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C1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C2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C3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C4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C5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C6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C7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C8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C9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91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3CA" w14:textId="77777777" w:rsidR="00507133" w:rsidRPr="008D5D1B" w:rsidRDefault="00507133" w:rsidP="00DA78E2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Ciljani istupi u medijima vezano uz projekt Financijske pismenosti u Republici Hrvatskoj i zajedničke aktivnosti svih institucija i osiguratelja.</w:t>
            </w:r>
          </w:p>
        </w:tc>
        <w:tc>
          <w:tcPr>
            <w:tcW w:w="1169" w:type="pct"/>
            <w:vMerge w:val="restar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3CB" w14:textId="77777777" w:rsidR="00507133" w:rsidRDefault="00507133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HUO</w:t>
            </w:r>
          </w:p>
          <w:p w14:paraId="6D8413CC" w14:textId="77777777" w:rsidR="00507133" w:rsidRPr="008D5D1B" w:rsidRDefault="00507133" w:rsidP="00D04DFE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47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3CD" w14:textId="77777777" w:rsidR="00507133" w:rsidRPr="008D5D1B" w:rsidRDefault="00507133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Kontinuirano</w:t>
            </w:r>
          </w:p>
        </w:tc>
        <w:tc>
          <w:tcPr>
            <w:tcW w:w="604" w:type="pct"/>
            <w:vMerge w:val="restar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3CE" w14:textId="77777777" w:rsidR="00507133" w:rsidRPr="008D5D1B" w:rsidRDefault="00507133" w:rsidP="002E6603">
            <w:pPr>
              <w:spacing w:after="0" w:line="336" w:lineRule="atLeast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CF" w14:textId="77777777" w:rsidR="00507133" w:rsidRPr="008D5D1B" w:rsidRDefault="00507133" w:rsidP="002E6603">
            <w:pPr>
              <w:spacing w:after="0" w:line="336" w:lineRule="atLeast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HUO, ŠTEDOPIS,</w:t>
            </w:r>
          </w:p>
          <w:p w14:paraId="6D8413D0" w14:textId="77777777" w:rsidR="00507133" w:rsidRPr="008D5D1B" w:rsidRDefault="00507133" w:rsidP="002E6603">
            <w:pPr>
              <w:spacing w:after="0" w:line="336" w:lineRule="atLeast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HANFA, HNB, </w:t>
            </w:r>
          </w:p>
          <w:p w14:paraId="6D8413D1" w14:textId="77777777" w:rsidR="00507133" w:rsidRPr="008D5D1B" w:rsidRDefault="00507133" w:rsidP="002E6603">
            <w:pPr>
              <w:spacing w:after="0" w:line="336" w:lineRule="atLeast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UMFO, HGK, HUB</w:t>
            </w: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, EFZG</w:t>
            </w: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 – vlastita sredstva</w:t>
            </w:r>
          </w:p>
          <w:p w14:paraId="6D8413D2" w14:textId="77777777" w:rsidR="00507133" w:rsidRPr="008D5D1B" w:rsidRDefault="00507133" w:rsidP="002E6603">
            <w:pPr>
              <w:spacing w:after="0" w:line="336" w:lineRule="atLeast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D3" w14:textId="77777777" w:rsidR="00507133" w:rsidRPr="008D5D1B" w:rsidRDefault="00507133" w:rsidP="002E6603">
            <w:pPr>
              <w:spacing w:after="0" w:line="336" w:lineRule="atLeast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AZOO – državni proračun</w:t>
            </w:r>
          </w:p>
          <w:p w14:paraId="6D8413D4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D5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2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3D6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Broj istupa u medijima u svrhu informiranja potrošača i p</w:t>
            </w: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odizanja financijske pismenost</w:t>
            </w: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i potrošača te</w:t>
            </w: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 njihovog aktivnog uključivanja u zaštitu i ostvarivanje svojih prava.</w:t>
            </w:r>
          </w:p>
        </w:tc>
      </w:tr>
      <w:tr w:rsidR="00507133" w:rsidRPr="008D5D1B" w14:paraId="6D8413E1" w14:textId="77777777" w:rsidTr="00D652EE">
        <w:trPr>
          <w:trHeight w:val="1520"/>
          <w:jc w:val="center"/>
        </w:trPr>
        <w:tc>
          <w:tcPr>
            <w:tcW w:w="209" w:type="pct"/>
            <w:vMerge/>
            <w:vAlign w:val="center"/>
            <w:hideMark/>
          </w:tcPr>
          <w:p w14:paraId="6D8413D8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03" w:type="pct"/>
            <w:vMerge/>
            <w:vAlign w:val="center"/>
            <w:hideMark/>
          </w:tcPr>
          <w:p w14:paraId="6D8413D9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91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3DA" w14:textId="77777777" w:rsidR="00507133" w:rsidRPr="008D5D1B" w:rsidRDefault="00507133" w:rsidP="00BA2340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Medijska kampanja uz kreativno edukativn</w:t>
            </w: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e</w:t>
            </w: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radionice i predavanja </w:t>
            </w: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koj</w:t>
            </w: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a</w:t>
            </w: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 će biti proveden</w:t>
            </w: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a</w:t>
            </w: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 u 2019. godini.</w:t>
            </w:r>
          </w:p>
        </w:tc>
        <w:tc>
          <w:tcPr>
            <w:tcW w:w="1169" w:type="pct"/>
            <w:vMerge/>
            <w:vAlign w:val="center"/>
            <w:hideMark/>
          </w:tcPr>
          <w:p w14:paraId="6D8413DB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47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3DC" w14:textId="77777777" w:rsidR="00507133" w:rsidRPr="008D5D1B" w:rsidRDefault="00507133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I. i </w:t>
            </w: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II. kvartal</w:t>
            </w:r>
          </w:p>
        </w:tc>
        <w:tc>
          <w:tcPr>
            <w:tcW w:w="604" w:type="pct"/>
            <w:vMerge/>
            <w:vAlign w:val="center"/>
            <w:hideMark/>
          </w:tcPr>
          <w:p w14:paraId="6D8413DD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2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3DE" w14:textId="77777777" w:rsidR="00507133" w:rsidRDefault="00507133" w:rsidP="00D04DFE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Broj objavljenih članaka i/ili blogova.</w:t>
            </w: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 </w:t>
            </w:r>
          </w:p>
          <w:p w14:paraId="6D8413DF" w14:textId="77777777" w:rsidR="00DC07DC" w:rsidRDefault="00DC07DC" w:rsidP="00D04DFE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3E0" w14:textId="77777777" w:rsidR="00DC07DC" w:rsidRPr="00DC07DC" w:rsidRDefault="00DC07DC" w:rsidP="00DC07DC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*</w:t>
            </w:r>
            <w:r w:rsidRPr="00DC07DC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dosada </w:t>
            </w:r>
            <w:r w:rsidR="009A5226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napravljene objave na pet internetskih stranica vezano uz „Dan otvorenih vrata EFZG-a“.</w:t>
            </w:r>
          </w:p>
        </w:tc>
      </w:tr>
      <w:tr w:rsidR="00507133" w:rsidRPr="008D5D1B" w14:paraId="6D8413E9" w14:textId="77777777" w:rsidTr="0099019C">
        <w:trPr>
          <w:trHeight w:val="1185"/>
          <w:jc w:val="center"/>
        </w:trPr>
        <w:tc>
          <w:tcPr>
            <w:tcW w:w="209" w:type="pct"/>
            <w:vMerge/>
            <w:vAlign w:val="center"/>
          </w:tcPr>
          <w:p w14:paraId="6D8413E2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03" w:type="pct"/>
            <w:vMerge/>
            <w:vAlign w:val="center"/>
          </w:tcPr>
          <w:p w14:paraId="6D8413E3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91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3E4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Istupi u medijima na temu financijske pismenosti i informiranja potrošača.</w:t>
            </w:r>
          </w:p>
        </w:tc>
        <w:tc>
          <w:tcPr>
            <w:tcW w:w="1169" w:type="pct"/>
            <w:vAlign w:val="center"/>
          </w:tcPr>
          <w:p w14:paraId="6D8413E5" w14:textId="77777777" w:rsidR="00507133" w:rsidRPr="008D5D1B" w:rsidRDefault="00507133" w:rsidP="000D0DF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HIFE</w:t>
            </w:r>
          </w:p>
        </w:tc>
        <w:tc>
          <w:tcPr>
            <w:tcW w:w="47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3E6" w14:textId="77777777" w:rsidR="00507133" w:rsidRPr="008D5D1B" w:rsidRDefault="00507133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Kontinuirano</w:t>
            </w:r>
          </w:p>
        </w:tc>
        <w:tc>
          <w:tcPr>
            <w:tcW w:w="604" w:type="pct"/>
            <w:vMerge/>
            <w:vAlign w:val="center"/>
          </w:tcPr>
          <w:p w14:paraId="6D8413E7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2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3E8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0D0DF9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Broj gostovanja na nacionalnoj i komercijalnim televizijama</w:t>
            </w: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.</w:t>
            </w:r>
            <w:r w:rsidRPr="000D0DF9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507133" w:rsidRPr="008D5D1B" w14:paraId="6D8413F1" w14:textId="77777777" w:rsidTr="00D158FF">
        <w:trPr>
          <w:trHeight w:val="1039"/>
          <w:jc w:val="center"/>
        </w:trPr>
        <w:tc>
          <w:tcPr>
            <w:tcW w:w="209" w:type="pct"/>
            <w:vMerge/>
            <w:vAlign w:val="center"/>
            <w:hideMark/>
          </w:tcPr>
          <w:p w14:paraId="6D8413EA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03" w:type="pct"/>
            <w:vMerge/>
            <w:vAlign w:val="center"/>
            <w:hideMark/>
          </w:tcPr>
          <w:p w14:paraId="6D8413EB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915" w:type="pct"/>
            <w:vMerge w:val="restar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3EC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Sudjelovanje u medijima u cilju promicanja važnosti financijske pismenosti.</w:t>
            </w:r>
          </w:p>
        </w:tc>
        <w:tc>
          <w:tcPr>
            <w:tcW w:w="1169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3ED" w14:textId="77777777" w:rsidR="00507133" w:rsidRPr="008D5D1B" w:rsidRDefault="00507133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ŠTEDOPIS</w:t>
            </w:r>
          </w:p>
        </w:tc>
        <w:tc>
          <w:tcPr>
            <w:tcW w:w="475" w:type="pct"/>
            <w:vMerge w:val="restar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3EE" w14:textId="77777777" w:rsidR="00507133" w:rsidRPr="008D5D1B" w:rsidRDefault="00507133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Kontinuirano</w:t>
            </w:r>
          </w:p>
        </w:tc>
        <w:tc>
          <w:tcPr>
            <w:tcW w:w="604" w:type="pct"/>
            <w:vMerge/>
            <w:vAlign w:val="center"/>
            <w:hideMark/>
          </w:tcPr>
          <w:p w14:paraId="6D8413EF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25" w:type="pct"/>
            <w:vMerge w:val="restar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3F0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Broj gostovanja</w:t>
            </w: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 na nacionalnoj i komercijalnim televizijama;  broj objavljenih i članaka u tiskanim i internetskim medijima u cilju podizanja financijske pismenosti potrošača.</w:t>
            </w:r>
          </w:p>
        </w:tc>
      </w:tr>
      <w:tr w:rsidR="00507133" w:rsidRPr="008D5D1B" w14:paraId="6D8413F9" w14:textId="77777777" w:rsidTr="0099019C">
        <w:trPr>
          <w:trHeight w:val="803"/>
          <w:jc w:val="center"/>
        </w:trPr>
        <w:tc>
          <w:tcPr>
            <w:tcW w:w="209" w:type="pct"/>
            <w:vMerge/>
            <w:vAlign w:val="center"/>
          </w:tcPr>
          <w:p w14:paraId="6D8413F2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03" w:type="pct"/>
            <w:vMerge/>
            <w:vAlign w:val="center"/>
          </w:tcPr>
          <w:p w14:paraId="6D8413F3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915" w:type="pct"/>
            <w:vMerge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3F4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1169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3F5" w14:textId="77777777" w:rsidR="00507133" w:rsidRPr="008D5D1B" w:rsidRDefault="00507133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EFZG</w:t>
            </w:r>
          </w:p>
        </w:tc>
        <w:tc>
          <w:tcPr>
            <w:tcW w:w="475" w:type="pct"/>
            <w:vMerge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3F6" w14:textId="77777777" w:rsidR="00507133" w:rsidRPr="008D5D1B" w:rsidRDefault="00507133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604" w:type="pct"/>
            <w:vMerge/>
            <w:vAlign w:val="center"/>
          </w:tcPr>
          <w:p w14:paraId="6D8413F7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25" w:type="pct"/>
            <w:vMerge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3F8" w14:textId="77777777" w:rsidR="00507133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</w:tr>
      <w:tr w:rsidR="00507133" w:rsidRPr="008D5D1B" w14:paraId="6D841401" w14:textId="77777777" w:rsidTr="0099019C">
        <w:trPr>
          <w:jc w:val="center"/>
        </w:trPr>
        <w:tc>
          <w:tcPr>
            <w:tcW w:w="209" w:type="pct"/>
            <w:vMerge/>
            <w:vAlign w:val="center"/>
            <w:hideMark/>
          </w:tcPr>
          <w:p w14:paraId="6D8413FA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03" w:type="pct"/>
            <w:vMerge/>
            <w:vAlign w:val="center"/>
            <w:hideMark/>
          </w:tcPr>
          <w:p w14:paraId="6D8413FB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91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3FC" w14:textId="77777777" w:rsidR="00507133" w:rsidRPr="008D5D1B" w:rsidRDefault="00507133" w:rsidP="00C650B7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Suradnja s </w:t>
            </w: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medijima i </w:t>
            </w: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portal</w:t>
            </w: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ima</w:t>
            </w: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 putem kreiranja nagradnih ig</w:t>
            </w: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a</w:t>
            </w: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ra i pitalica te druge moguće aktivnosti za učenike srednjih škola</w:t>
            </w: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.</w:t>
            </w: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169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3FD" w14:textId="77777777" w:rsidR="00507133" w:rsidRPr="008D5D1B" w:rsidRDefault="00507133" w:rsidP="002E6603">
            <w:pPr>
              <w:spacing w:after="0" w:line="336" w:lineRule="atLeast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AZOO</w:t>
            </w:r>
          </w:p>
        </w:tc>
        <w:tc>
          <w:tcPr>
            <w:tcW w:w="475" w:type="pct"/>
            <w:vMerge/>
            <w:vAlign w:val="center"/>
            <w:hideMark/>
          </w:tcPr>
          <w:p w14:paraId="6D8413FE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14:paraId="6D8413FF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2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400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Broj</w:t>
            </w: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 provedenih aktivnosti</w:t>
            </w: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, broj sudionika.</w:t>
            </w:r>
          </w:p>
        </w:tc>
      </w:tr>
      <w:tr w:rsidR="00507133" w:rsidRPr="008D5D1B" w14:paraId="6D84140A" w14:textId="77777777" w:rsidTr="0099019C">
        <w:trPr>
          <w:jc w:val="center"/>
        </w:trPr>
        <w:tc>
          <w:tcPr>
            <w:tcW w:w="209" w:type="pct"/>
            <w:vMerge/>
            <w:vAlign w:val="center"/>
            <w:hideMark/>
          </w:tcPr>
          <w:p w14:paraId="6D841402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03" w:type="pct"/>
            <w:vMerge/>
            <w:vAlign w:val="center"/>
            <w:hideMark/>
          </w:tcPr>
          <w:p w14:paraId="6D841403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91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404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Sudjelovanje u medijima u cilju promicanja važnosti financijske pismenosti.</w:t>
            </w:r>
          </w:p>
        </w:tc>
        <w:tc>
          <w:tcPr>
            <w:tcW w:w="1169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405" w14:textId="77777777" w:rsidR="00507133" w:rsidRPr="008D5D1B" w:rsidRDefault="00507133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HANFA</w:t>
            </w:r>
          </w:p>
        </w:tc>
        <w:tc>
          <w:tcPr>
            <w:tcW w:w="475" w:type="pct"/>
            <w:vMerge/>
            <w:vAlign w:val="center"/>
            <w:hideMark/>
          </w:tcPr>
          <w:p w14:paraId="6D841406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14:paraId="6D841407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2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408" w14:textId="77777777" w:rsidR="00507133" w:rsidRDefault="00507133" w:rsidP="002E6603">
            <w:pPr>
              <w:spacing w:after="0" w:line="240" w:lineRule="auto"/>
              <w:rPr>
                <w:rFonts w:ascii="Arial Narrow" w:eastAsia="Times New Roman" w:hAnsi="Arial Narrow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color w:val="666666"/>
                <w:sz w:val="20"/>
                <w:szCs w:val="20"/>
                <w:lang w:eastAsia="hr-HR"/>
              </w:rPr>
              <w:t xml:space="preserve">Broj istupa u medijima u svrhu informiranja potrošača i </w:t>
            </w:r>
            <w:r w:rsidRPr="008D5D1B">
              <w:rPr>
                <w:rFonts w:ascii="Arial Narrow" w:eastAsia="Times New Roman" w:hAnsi="Arial Narrow"/>
                <w:color w:val="666666"/>
                <w:sz w:val="20"/>
                <w:szCs w:val="20"/>
                <w:lang w:eastAsia="hr-HR"/>
              </w:rPr>
              <w:t>podizanja fi</w:t>
            </w:r>
            <w:r>
              <w:rPr>
                <w:rFonts w:ascii="Arial Narrow" w:eastAsia="Times New Roman" w:hAnsi="Arial Narrow"/>
                <w:color w:val="666666"/>
                <w:sz w:val="20"/>
                <w:szCs w:val="20"/>
                <w:lang w:eastAsia="hr-HR"/>
              </w:rPr>
              <w:t>nancijske pismenosti potrošača te</w:t>
            </w:r>
            <w:r w:rsidRPr="008D5D1B">
              <w:rPr>
                <w:rFonts w:ascii="Arial Narrow" w:eastAsia="Times New Roman" w:hAnsi="Arial Narrow"/>
                <w:color w:val="666666"/>
                <w:sz w:val="20"/>
                <w:szCs w:val="20"/>
                <w:lang w:eastAsia="hr-HR"/>
              </w:rPr>
              <w:t xml:space="preserve"> njihovog aktivnog uključivanja u zaštitu i ostvarivanje svojih prava.</w:t>
            </w:r>
          </w:p>
          <w:p w14:paraId="6D841409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</w:tr>
      <w:tr w:rsidR="00507133" w:rsidRPr="008D5D1B" w14:paraId="6D841412" w14:textId="77777777" w:rsidTr="0099019C">
        <w:trPr>
          <w:jc w:val="center"/>
        </w:trPr>
        <w:tc>
          <w:tcPr>
            <w:tcW w:w="209" w:type="pct"/>
            <w:vMerge/>
            <w:vAlign w:val="center"/>
            <w:hideMark/>
          </w:tcPr>
          <w:p w14:paraId="6D84140B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03" w:type="pct"/>
            <w:vMerge/>
            <w:vAlign w:val="center"/>
            <w:hideMark/>
          </w:tcPr>
          <w:p w14:paraId="6D84140C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91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40D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Sudjelovanje u medijima i odgovaranje na upite koji imaju za cilj financijsku edukaciju javnosti i potrošača iz djelokruga rada središnje banke.</w:t>
            </w:r>
          </w:p>
        </w:tc>
        <w:tc>
          <w:tcPr>
            <w:tcW w:w="1169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40E" w14:textId="77777777" w:rsidR="00507133" w:rsidRPr="008D5D1B" w:rsidRDefault="00507133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HNB</w:t>
            </w:r>
          </w:p>
        </w:tc>
        <w:tc>
          <w:tcPr>
            <w:tcW w:w="475" w:type="pct"/>
            <w:vMerge/>
            <w:vAlign w:val="center"/>
            <w:hideMark/>
          </w:tcPr>
          <w:p w14:paraId="6D84140F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14:paraId="6D841410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2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411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Broj go</w:t>
            </w: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stovanja na nacionalnoj i komercijalnim televizijama, broj objavljenih članaka i prenošenje članaka u cilju podizanja financijske pismenosti potrošača.</w:t>
            </w:r>
          </w:p>
        </w:tc>
      </w:tr>
      <w:tr w:rsidR="00507133" w:rsidRPr="008D5D1B" w14:paraId="6D84141E" w14:textId="77777777" w:rsidTr="00507133">
        <w:trPr>
          <w:jc w:val="center"/>
        </w:trPr>
        <w:tc>
          <w:tcPr>
            <w:tcW w:w="209" w:type="pct"/>
            <w:vMerge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413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03" w:type="pct"/>
            <w:vMerge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414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91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415" w14:textId="77777777" w:rsidR="00507133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Suradnja s medijima po pitanju svih relevantnih tema u svezi sa zajedničkim </w:t>
            </w:r>
          </w:p>
          <w:p w14:paraId="6D841416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aktivnostima mirovinskih društava.</w:t>
            </w:r>
          </w:p>
        </w:tc>
        <w:tc>
          <w:tcPr>
            <w:tcW w:w="1169" w:type="pct"/>
            <w:vMerge w:val="restar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417" w14:textId="77777777" w:rsidR="00507133" w:rsidRPr="008D5D1B" w:rsidRDefault="00507133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UMFO</w:t>
            </w:r>
          </w:p>
        </w:tc>
        <w:tc>
          <w:tcPr>
            <w:tcW w:w="475" w:type="pct"/>
            <w:vMerge w:val="restar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418" w14:textId="77777777" w:rsidR="00507133" w:rsidRDefault="00507133" w:rsidP="0050713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419" w14:textId="77777777" w:rsidR="00507133" w:rsidRDefault="00507133" w:rsidP="005071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41A" w14:textId="77777777" w:rsidR="00507133" w:rsidRDefault="00507133" w:rsidP="005071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III. i IV. kvartal</w:t>
            </w:r>
          </w:p>
          <w:p w14:paraId="6D84141B" w14:textId="77777777" w:rsidR="00507133" w:rsidRPr="007E6C14" w:rsidRDefault="00507133" w:rsidP="0050713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4" w:type="pct"/>
            <w:vMerge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41C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2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41D" w14:textId="77777777" w:rsidR="00507133" w:rsidRPr="008D5D1B" w:rsidRDefault="00507133" w:rsidP="007468E0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Broj provedenih aktivnosti. </w:t>
            </w:r>
          </w:p>
        </w:tc>
      </w:tr>
      <w:tr w:rsidR="00507133" w:rsidRPr="008D5D1B" w14:paraId="6D841428" w14:textId="77777777" w:rsidTr="0099019C">
        <w:trPr>
          <w:trHeight w:val="1147"/>
          <w:jc w:val="center"/>
        </w:trPr>
        <w:tc>
          <w:tcPr>
            <w:tcW w:w="209" w:type="pct"/>
            <w:vMerge/>
            <w:vAlign w:val="center"/>
            <w:hideMark/>
          </w:tcPr>
          <w:p w14:paraId="6D84141F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03" w:type="pct"/>
            <w:vMerge/>
            <w:vAlign w:val="center"/>
            <w:hideMark/>
          </w:tcPr>
          <w:p w14:paraId="6D841420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91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421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Medijska kampanja u tiskanim medijima i na Internetu – edukacija o važnosti mirovinske štednje te osnovnim pojmovima.</w:t>
            </w:r>
          </w:p>
        </w:tc>
        <w:tc>
          <w:tcPr>
            <w:tcW w:w="1169" w:type="pct"/>
            <w:vMerge/>
            <w:vAlign w:val="center"/>
            <w:hideMark/>
          </w:tcPr>
          <w:p w14:paraId="6D841422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475" w:type="pct"/>
            <w:vMerge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423" w14:textId="77777777" w:rsidR="00507133" w:rsidRPr="008D5D1B" w:rsidRDefault="00507133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14:paraId="6D841424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2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425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Provedena k</w:t>
            </w: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ampanja financijske pismenosti za osnovne škole - Projekt „MAFIN“.</w:t>
            </w:r>
          </w:p>
          <w:p w14:paraId="6D841426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427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</w:tr>
      <w:tr w:rsidR="00507133" w:rsidRPr="008D5D1B" w14:paraId="6D841432" w14:textId="77777777" w:rsidTr="0099019C">
        <w:trPr>
          <w:jc w:val="center"/>
        </w:trPr>
        <w:tc>
          <w:tcPr>
            <w:tcW w:w="209" w:type="pct"/>
            <w:vMerge/>
            <w:vAlign w:val="center"/>
            <w:hideMark/>
          </w:tcPr>
          <w:p w14:paraId="6D841429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03" w:type="pct"/>
            <w:vMerge/>
            <w:vAlign w:val="center"/>
            <w:hideMark/>
          </w:tcPr>
          <w:p w14:paraId="6D84142A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91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42B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Informiranje potrošača i poslovnih subjekata kroz suradnju s medijima putem odgovora na upite, stručnih članaka i drugo.</w:t>
            </w:r>
          </w:p>
        </w:tc>
        <w:tc>
          <w:tcPr>
            <w:tcW w:w="1169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42C" w14:textId="77777777" w:rsidR="00507133" w:rsidRPr="008D5D1B" w:rsidRDefault="00507133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HGK</w:t>
            </w:r>
          </w:p>
        </w:tc>
        <w:tc>
          <w:tcPr>
            <w:tcW w:w="47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42D" w14:textId="77777777" w:rsidR="00507133" w:rsidRDefault="00507133" w:rsidP="005071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42E" w14:textId="77777777" w:rsidR="00507133" w:rsidRDefault="00507133" w:rsidP="005071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Kontinuirano</w:t>
            </w:r>
          </w:p>
          <w:p w14:paraId="6D84142F" w14:textId="77777777" w:rsidR="00507133" w:rsidRPr="008D5D1B" w:rsidRDefault="00507133" w:rsidP="005071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14:paraId="6D841430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2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431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Broj odgovora na upit, broj objavljenih stručnih članaka</w:t>
            </w: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.</w:t>
            </w:r>
          </w:p>
        </w:tc>
      </w:tr>
      <w:tr w:rsidR="00507133" w:rsidRPr="008D5D1B" w14:paraId="6D84143A" w14:textId="77777777" w:rsidTr="0099019C">
        <w:trPr>
          <w:jc w:val="center"/>
        </w:trPr>
        <w:tc>
          <w:tcPr>
            <w:tcW w:w="209" w:type="pct"/>
            <w:vMerge/>
            <w:vAlign w:val="center"/>
            <w:hideMark/>
          </w:tcPr>
          <w:p w14:paraId="6D841433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03" w:type="pct"/>
            <w:vMerge/>
            <w:vAlign w:val="center"/>
            <w:hideMark/>
          </w:tcPr>
          <w:p w14:paraId="6D841434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91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435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Održ</w:t>
            </w: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avanjem redovnih brifinga za medije, HUB će </w:t>
            </w:r>
            <w:r w:rsidRPr="00094CB5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nastaviti redovito educiranje i informiranje novinara koji prate gospodarstvo, financije i slična područja. Također, kroz objave za medije i odgovore na upite se planira nastavak razvijanja informiranja medija.  Održavat će se redovna komunikac</w:t>
            </w: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ija sa zainteresiranom javnošću, HUB a</w:t>
            </w:r>
            <w:r w:rsidRPr="00094CB5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nalize u kojima se obrađuju aktualne teme iz područja makroekonomije, ba</w:t>
            </w: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nkarstva i financija te bri</w:t>
            </w:r>
            <w:r w:rsidRPr="00094CB5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finzi za  medije i odgovori na upite iz područja bankarstva (npr. kamatne stope, uvođenje eura, analiza blokiranih građana).</w:t>
            </w:r>
          </w:p>
        </w:tc>
        <w:tc>
          <w:tcPr>
            <w:tcW w:w="1169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436" w14:textId="77777777" w:rsidR="00507133" w:rsidRPr="008D5D1B" w:rsidRDefault="00507133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HUB</w:t>
            </w:r>
          </w:p>
        </w:tc>
        <w:tc>
          <w:tcPr>
            <w:tcW w:w="475" w:type="pct"/>
            <w:vAlign w:val="center"/>
            <w:hideMark/>
          </w:tcPr>
          <w:p w14:paraId="6D841437" w14:textId="77777777" w:rsidR="00507133" w:rsidRPr="008D5D1B" w:rsidRDefault="00507133" w:rsidP="005071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Kontinuirano</w:t>
            </w:r>
          </w:p>
        </w:tc>
        <w:tc>
          <w:tcPr>
            <w:tcW w:w="604" w:type="pct"/>
            <w:vMerge/>
            <w:vAlign w:val="center"/>
            <w:hideMark/>
          </w:tcPr>
          <w:p w14:paraId="6D841438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2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439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Broj objava/upita i brifinga.</w:t>
            </w:r>
          </w:p>
        </w:tc>
      </w:tr>
      <w:tr w:rsidR="00507133" w:rsidRPr="008D5D1B" w14:paraId="6D841442" w14:textId="77777777" w:rsidTr="0099019C">
        <w:trPr>
          <w:jc w:val="center"/>
        </w:trPr>
        <w:tc>
          <w:tcPr>
            <w:tcW w:w="209" w:type="pct"/>
            <w:vMerge/>
            <w:vAlign w:val="center"/>
          </w:tcPr>
          <w:p w14:paraId="6D84143B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03" w:type="pct"/>
            <w:vAlign w:val="center"/>
          </w:tcPr>
          <w:p w14:paraId="6D84143C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91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43D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U suradnji s medijskim partnerom će organizirati medijsku kampanju te će u sklopu nje objavljivati teme koje su temelj za informiranje korisnika kredita (podizanje razine informiranosti o načinu formiranja kamatnih stopa, utjecaj kamatnih stopa na kretanje iznosa anuiteta po kreditima, itd.) i  teme vezane uz budućnost digitalnog plaćanja s ciljem podizanja financijske pismenosti građana.</w:t>
            </w:r>
          </w:p>
        </w:tc>
        <w:tc>
          <w:tcPr>
            <w:tcW w:w="1169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43E" w14:textId="77777777" w:rsidR="00507133" w:rsidRPr="008D5D1B" w:rsidRDefault="00507133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HUB</w:t>
            </w:r>
          </w:p>
        </w:tc>
        <w:tc>
          <w:tcPr>
            <w:tcW w:w="475" w:type="pct"/>
            <w:vAlign w:val="center"/>
          </w:tcPr>
          <w:p w14:paraId="6D84143F" w14:textId="77777777" w:rsidR="00507133" w:rsidRPr="008D5D1B" w:rsidRDefault="00507133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604" w:type="pct"/>
            <w:vAlign w:val="center"/>
          </w:tcPr>
          <w:p w14:paraId="6D841440" w14:textId="77777777" w:rsidR="00507133" w:rsidRPr="008D5D1B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2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441" w14:textId="77777777" w:rsidR="00507133" w:rsidRDefault="00507133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Broj objava.</w:t>
            </w:r>
          </w:p>
        </w:tc>
      </w:tr>
      <w:tr w:rsidR="0099019C" w:rsidRPr="008D5D1B" w14:paraId="6D841460" w14:textId="77777777" w:rsidTr="0099019C">
        <w:trPr>
          <w:jc w:val="center"/>
        </w:trPr>
        <w:tc>
          <w:tcPr>
            <w:tcW w:w="209" w:type="pct"/>
            <w:vMerge w:val="restar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443" w14:textId="77777777" w:rsidR="0099019C" w:rsidRPr="008D5D1B" w:rsidRDefault="0099019C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803" w:type="pct"/>
            <w:vMerge w:val="restar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444" w14:textId="77777777" w:rsidR="0099019C" w:rsidRPr="008D5D1B" w:rsidRDefault="0099019C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Obilježavanje međunarodnih događaja značajnih za unaprjeđenje financijske pismenosti potrošača.</w:t>
            </w:r>
          </w:p>
        </w:tc>
        <w:tc>
          <w:tcPr>
            <w:tcW w:w="91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445" w14:textId="77777777" w:rsidR="0099019C" w:rsidRPr="008D5D1B" w:rsidRDefault="0099019C" w:rsidP="00064C62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Obilježavanje </w:t>
            </w:r>
            <w:r w:rsidR="00064C62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UN globalnog tjedna </w:t>
            </w:r>
            <w:r w:rsidR="003E436F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cestovne</w:t>
            </w:r>
            <w:r w:rsidR="00064C62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 sigurnosti </w:t>
            </w: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i Svjetskog dana štednje u suradnji s društvima za osiguranje.</w:t>
            </w:r>
          </w:p>
        </w:tc>
        <w:tc>
          <w:tcPr>
            <w:tcW w:w="1169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446" w14:textId="77777777" w:rsidR="0099019C" w:rsidRPr="008D5D1B" w:rsidRDefault="0099019C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HUO</w:t>
            </w:r>
          </w:p>
        </w:tc>
        <w:tc>
          <w:tcPr>
            <w:tcW w:w="47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447" w14:textId="77777777" w:rsidR="0099019C" w:rsidRPr="008D5D1B" w:rsidRDefault="0099019C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II. i IV. kvartal</w:t>
            </w:r>
          </w:p>
        </w:tc>
        <w:tc>
          <w:tcPr>
            <w:tcW w:w="604" w:type="pct"/>
            <w:vMerge w:val="restar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448" w14:textId="77777777" w:rsidR="0099019C" w:rsidRPr="008D5D1B" w:rsidRDefault="0099019C" w:rsidP="002E6603">
            <w:pPr>
              <w:spacing w:after="0" w:line="336" w:lineRule="atLeast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449" w14:textId="77777777" w:rsidR="0099019C" w:rsidRPr="008D5D1B" w:rsidRDefault="0099019C" w:rsidP="002E6603">
            <w:pPr>
              <w:spacing w:after="0" w:line="336" w:lineRule="atLeast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44A" w14:textId="77777777" w:rsidR="0099019C" w:rsidRPr="008D5D1B" w:rsidRDefault="0099019C" w:rsidP="002E6603">
            <w:pPr>
              <w:spacing w:after="0" w:line="336" w:lineRule="atLeast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44B" w14:textId="77777777" w:rsidR="0099019C" w:rsidRPr="008D5D1B" w:rsidRDefault="0099019C" w:rsidP="002E6603">
            <w:pPr>
              <w:spacing w:after="0" w:line="336" w:lineRule="atLeast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44C" w14:textId="77777777" w:rsidR="0099019C" w:rsidRPr="008D5D1B" w:rsidRDefault="0099019C" w:rsidP="002E6603">
            <w:pPr>
              <w:spacing w:after="0" w:line="336" w:lineRule="atLeast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44D" w14:textId="77777777" w:rsidR="0099019C" w:rsidRPr="008D5D1B" w:rsidRDefault="0099019C" w:rsidP="002E6603">
            <w:pPr>
              <w:spacing w:after="0" w:line="336" w:lineRule="atLeast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44E" w14:textId="77777777" w:rsidR="0099019C" w:rsidRPr="008D5D1B" w:rsidRDefault="0099019C" w:rsidP="002E6603">
            <w:pPr>
              <w:spacing w:after="0" w:line="336" w:lineRule="atLeast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44F" w14:textId="77777777" w:rsidR="0099019C" w:rsidRPr="008D5D1B" w:rsidRDefault="0099019C" w:rsidP="002E6603">
            <w:pPr>
              <w:spacing w:after="0" w:line="336" w:lineRule="atLeast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450" w14:textId="77777777" w:rsidR="0099019C" w:rsidRPr="008D5D1B" w:rsidRDefault="0099019C" w:rsidP="002E6603">
            <w:pPr>
              <w:spacing w:after="0" w:line="336" w:lineRule="atLeast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451" w14:textId="77777777" w:rsidR="0099019C" w:rsidRPr="008D5D1B" w:rsidRDefault="0099019C" w:rsidP="002E6603">
            <w:pPr>
              <w:spacing w:after="0" w:line="336" w:lineRule="atLeast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MFIN,</w:t>
            </w: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 MZO, AZOO – državni proračun</w:t>
            </w:r>
          </w:p>
          <w:p w14:paraId="6D841452" w14:textId="77777777" w:rsidR="0099019C" w:rsidRPr="008D5D1B" w:rsidRDefault="0099019C" w:rsidP="002E6603">
            <w:pPr>
              <w:spacing w:after="0" w:line="336" w:lineRule="atLeast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453" w14:textId="77777777" w:rsidR="0099019C" w:rsidRPr="008D5D1B" w:rsidRDefault="0099019C" w:rsidP="002E6603">
            <w:pPr>
              <w:spacing w:after="0" w:line="336" w:lineRule="atLeast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HNB, HANFA, HGK, HUO, HUB, UMFO, ZSE, HUP, </w:t>
            </w: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EFZG, </w:t>
            </w: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ŠTEDOPIS – vlastita sredstva</w:t>
            </w:r>
          </w:p>
        </w:tc>
        <w:tc>
          <w:tcPr>
            <w:tcW w:w="825" w:type="pct"/>
            <w:vMerge w:val="restar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454" w14:textId="77777777" w:rsidR="0099019C" w:rsidRPr="008D5D1B" w:rsidRDefault="0099019C" w:rsidP="000F3446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Obilježen </w:t>
            </w:r>
            <w:r w:rsidR="00064C62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 UN globalni tjedan cestovne sigurnosti. </w:t>
            </w:r>
          </w:p>
          <w:p w14:paraId="6D841455" w14:textId="77777777" w:rsidR="0099019C" w:rsidRPr="008D5D1B" w:rsidRDefault="0099019C" w:rsidP="000F3446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456" w14:textId="77777777" w:rsidR="0099019C" w:rsidRPr="008D5D1B" w:rsidRDefault="0099019C" w:rsidP="000F3446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Obilježen Svjetski dan štednje.</w:t>
            </w:r>
          </w:p>
          <w:p w14:paraId="6D841457" w14:textId="77777777" w:rsidR="0099019C" w:rsidRPr="008D5D1B" w:rsidRDefault="0099019C" w:rsidP="000F3446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458" w14:textId="77777777" w:rsidR="0099019C" w:rsidRPr="008D5D1B" w:rsidRDefault="0099019C" w:rsidP="000F3446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Obilježen Svjetski dan investicijskih fondova.</w:t>
            </w:r>
          </w:p>
          <w:p w14:paraId="6D841459" w14:textId="77777777" w:rsidR="0099019C" w:rsidRPr="008D5D1B" w:rsidRDefault="0099019C" w:rsidP="000F3446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45A" w14:textId="77777777" w:rsidR="0099019C" w:rsidRPr="008D5D1B" w:rsidRDefault="0099019C" w:rsidP="000F3446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Obilježen Svjetski dan kreditnih unija.</w:t>
            </w:r>
          </w:p>
          <w:p w14:paraId="6D84145B" w14:textId="77777777" w:rsidR="0099019C" w:rsidRPr="008D5D1B" w:rsidRDefault="0099019C" w:rsidP="000F3446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45C" w14:textId="77777777" w:rsidR="0099019C" w:rsidRDefault="0099019C" w:rsidP="000F3446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Obilježen Europski i Svjetski tjedan novca</w:t>
            </w:r>
            <w:r w:rsidR="009A5226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 u razdoblju od 25. -29. ožujka 2019</w:t>
            </w: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.</w:t>
            </w:r>
            <w:r w:rsidR="009A5226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 godine</w:t>
            </w:r>
          </w:p>
          <w:p w14:paraId="6D84145D" w14:textId="77777777" w:rsidR="0099019C" w:rsidRPr="008D5D1B" w:rsidRDefault="0099019C" w:rsidP="000F3446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45E" w14:textId="77777777" w:rsidR="0099019C" w:rsidRDefault="0099019C" w:rsidP="000F3446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Broj </w:t>
            </w: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i vrsta </w:t>
            </w: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događanja na obilježenim međunarodnim događajima, broj polaznika</w:t>
            </w: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/sudionika</w:t>
            </w: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, broj pregleda</w:t>
            </w: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 te doseg na društvenim mrežama i dr. relevantni pokazatelji.</w:t>
            </w:r>
          </w:p>
          <w:p w14:paraId="6D84145F" w14:textId="77777777" w:rsidR="0099019C" w:rsidRPr="008D5D1B" w:rsidRDefault="0099019C" w:rsidP="000F3446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</w:tr>
      <w:tr w:rsidR="0099019C" w:rsidRPr="008D5D1B" w14:paraId="6D841468" w14:textId="77777777" w:rsidTr="0099019C">
        <w:trPr>
          <w:trHeight w:val="405"/>
          <w:jc w:val="center"/>
        </w:trPr>
        <w:tc>
          <w:tcPr>
            <w:tcW w:w="209" w:type="pct"/>
            <w:vMerge/>
            <w:vAlign w:val="center"/>
            <w:hideMark/>
          </w:tcPr>
          <w:p w14:paraId="6D841461" w14:textId="77777777" w:rsidR="0099019C" w:rsidRPr="008D5D1B" w:rsidRDefault="0099019C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03" w:type="pct"/>
            <w:vMerge/>
            <w:vAlign w:val="center"/>
            <w:hideMark/>
          </w:tcPr>
          <w:p w14:paraId="6D841462" w14:textId="77777777" w:rsidR="0099019C" w:rsidRPr="008D5D1B" w:rsidRDefault="0099019C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915" w:type="pct"/>
            <w:vMerge w:val="restar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463" w14:textId="77777777" w:rsidR="0099019C" w:rsidRPr="008D5D1B" w:rsidRDefault="0099019C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Obilježavanje Svjetskog dana investicijskih fondova. </w:t>
            </w:r>
          </w:p>
        </w:tc>
        <w:tc>
          <w:tcPr>
            <w:tcW w:w="1169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464" w14:textId="77777777" w:rsidR="0099019C" w:rsidRPr="008D5D1B" w:rsidRDefault="0099019C" w:rsidP="00342C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HGK</w:t>
            </w:r>
          </w:p>
        </w:tc>
        <w:tc>
          <w:tcPr>
            <w:tcW w:w="475" w:type="pct"/>
            <w:vMerge w:val="restar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465" w14:textId="77777777" w:rsidR="0099019C" w:rsidRPr="008D5D1B" w:rsidRDefault="0099019C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II. kvartal</w:t>
            </w:r>
          </w:p>
        </w:tc>
        <w:tc>
          <w:tcPr>
            <w:tcW w:w="604" w:type="pct"/>
            <w:vMerge/>
            <w:vAlign w:val="center"/>
            <w:hideMark/>
          </w:tcPr>
          <w:p w14:paraId="6D841466" w14:textId="77777777" w:rsidR="0099019C" w:rsidRPr="008D5D1B" w:rsidRDefault="0099019C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25" w:type="pct"/>
            <w:vMerge/>
            <w:vAlign w:val="center"/>
            <w:hideMark/>
          </w:tcPr>
          <w:p w14:paraId="6D841467" w14:textId="77777777" w:rsidR="0099019C" w:rsidRPr="008D5D1B" w:rsidRDefault="0099019C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</w:tr>
      <w:tr w:rsidR="0099019C" w:rsidRPr="008D5D1B" w14:paraId="6D841470" w14:textId="77777777" w:rsidTr="0099019C">
        <w:trPr>
          <w:trHeight w:val="285"/>
          <w:jc w:val="center"/>
        </w:trPr>
        <w:tc>
          <w:tcPr>
            <w:tcW w:w="209" w:type="pct"/>
            <w:vMerge/>
            <w:vAlign w:val="center"/>
          </w:tcPr>
          <w:p w14:paraId="6D841469" w14:textId="77777777" w:rsidR="0099019C" w:rsidRPr="008D5D1B" w:rsidRDefault="0099019C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03" w:type="pct"/>
            <w:vMerge/>
            <w:vAlign w:val="center"/>
          </w:tcPr>
          <w:p w14:paraId="6D84146A" w14:textId="77777777" w:rsidR="0099019C" w:rsidRPr="008D5D1B" w:rsidRDefault="0099019C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915" w:type="pct"/>
            <w:vMerge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46B" w14:textId="77777777" w:rsidR="0099019C" w:rsidRPr="008D5D1B" w:rsidRDefault="0099019C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1169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46C" w14:textId="77777777" w:rsidR="0099019C" w:rsidRPr="008D5D1B" w:rsidRDefault="0099019C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EFZG</w:t>
            </w:r>
          </w:p>
        </w:tc>
        <w:tc>
          <w:tcPr>
            <w:tcW w:w="475" w:type="pct"/>
            <w:vMerge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46D" w14:textId="77777777" w:rsidR="0099019C" w:rsidRPr="008D5D1B" w:rsidRDefault="0099019C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604" w:type="pct"/>
            <w:vMerge/>
            <w:vAlign w:val="center"/>
          </w:tcPr>
          <w:p w14:paraId="6D84146E" w14:textId="77777777" w:rsidR="0099019C" w:rsidRPr="008D5D1B" w:rsidRDefault="0099019C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25" w:type="pct"/>
            <w:vMerge/>
            <w:vAlign w:val="center"/>
          </w:tcPr>
          <w:p w14:paraId="6D84146F" w14:textId="77777777" w:rsidR="0099019C" w:rsidRPr="008D5D1B" w:rsidRDefault="0099019C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</w:tr>
      <w:tr w:rsidR="00D158FF" w:rsidRPr="008D5D1B" w14:paraId="6D84147A" w14:textId="77777777" w:rsidTr="00D158FF">
        <w:trPr>
          <w:trHeight w:val="1377"/>
          <w:jc w:val="center"/>
        </w:trPr>
        <w:tc>
          <w:tcPr>
            <w:tcW w:w="209" w:type="pct"/>
            <w:vMerge/>
            <w:vAlign w:val="center"/>
            <w:hideMark/>
          </w:tcPr>
          <w:p w14:paraId="6D841471" w14:textId="77777777" w:rsidR="00D158FF" w:rsidRPr="008D5D1B" w:rsidRDefault="00D158FF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03" w:type="pct"/>
            <w:vMerge/>
            <w:vAlign w:val="center"/>
            <w:hideMark/>
          </w:tcPr>
          <w:p w14:paraId="6D841472" w14:textId="77777777" w:rsidR="00D158FF" w:rsidRPr="008D5D1B" w:rsidRDefault="00D158FF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91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473" w14:textId="77777777" w:rsidR="00D158FF" w:rsidRPr="008D5D1B" w:rsidRDefault="00D158FF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HUB će</w:t>
            </w:r>
            <w:r w:rsidRPr="00047253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 predstaviti analizu trendova štednje u Hrvatskoj te organizirati događaj/konferenciju povodom obilježavanja Svjetskog dana štednje.</w:t>
            </w:r>
          </w:p>
        </w:tc>
        <w:tc>
          <w:tcPr>
            <w:tcW w:w="1169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474" w14:textId="77777777" w:rsidR="00D158FF" w:rsidRDefault="00D158FF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475" w14:textId="77777777" w:rsidR="00D158FF" w:rsidRDefault="00D158FF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HUB</w:t>
            </w:r>
          </w:p>
          <w:p w14:paraId="6D841476" w14:textId="77777777" w:rsidR="00D158FF" w:rsidRPr="008D5D1B" w:rsidRDefault="00D158FF" w:rsidP="00D158FF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475" w:type="pct"/>
            <w:vMerge w:val="restar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477" w14:textId="77777777" w:rsidR="00D158FF" w:rsidRPr="008D5D1B" w:rsidRDefault="00D158FF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IV. kvartal</w:t>
            </w:r>
          </w:p>
        </w:tc>
        <w:tc>
          <w:tcPr>
            <w:tcW w:w="604" w:type="pct"/>
            <w:vMerge/>
            <w:vAlign w:val="center"/>
            <w:hideMark/>
          </w:tcPr>
          <w:p w14:paraId="6D841478" w14:textId="77777777" w:rsidR="00D158FF" w:rsidRPr="008D5D1B" w:rsidRDefault="00D158FF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25" w:type="pct"/>
            <w:vMerge/>
            <w:vAlign w:val="center"/>
            <w:hideMark/>
          </w:tcPr>
          <w:p w14:paraId="6D841479" w14:textId="77777777" w:rsidR="00D158FF" w:rsidRPr="008D5D1B" w:rsidRDefault="00D158FF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</w:tr>
      <w:tr w:rsidR="00D158FF" w:rsidRPr="008D5D1B" w14:paraId="6D841488" w14:textId="77777777" w:rsidTr="00D158FF">
        <w:trPr>
          <w:jc w:val="center"/>
        </w:trPr>
        <w:tc>
          <w:tcPr>
            <w:tcW w:w="209" w:type="pct"/>
            <w:vMerge/>
            <w:vAlign w:val="center"/>
            <w:hideMark/>
          </w:tcPr>
          <w:p w14:paraId="6D84147B" w14:textId="77777777" w:rsidR="00D158FF" w:rsidRPr="008D5D1B" w:rsidRDefault="00D158FF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03" w:type="pct"/>
            <w:vMerge/>
            <w:vAlign w:val="center"/>
            <w:hideMark/>
          </w:tcPr>
          <w:p w14:paraId="6D84147C" w14:textId="77777777" w:rsidR="00D158FF" w:rsidRPr="008D5D1B" w:rsidRDefault="00D158FF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915" w:type="pct"/>
            <w:vMerge w:val="restar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47D" w14:textId="77777777" w:rsidR="00D158FF" w:rsidRDefault="00D158FF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Obilježavanje Svjetskog dana štednje.</w:t>
            </w:r>
          </w:p>
          <w:p w14:paraId="6D84147E" w14:textId="77777777" w:rsidR="00D158FF" w:rsidRDefault="00D158FF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47F" w14:textId="77777777" w:rsidR="00D158FF" w:rsidRDefault="00D158FF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480" w14:textId="77777777" w:rsidR="00D158FF" w:rsidRDefault="00D158FF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481" w14:textId="77777777" w:rsidR="00D158FF" w:rsidRDefault="00D158FF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482" w14:textId="77777777" w:rsidR="00D158FF" w:rsidRPr="008D5D1B" w:rsidRDefault="00D158FF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1169" w:type="pct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D841483" w14:textId="77777777" w:rsidR="00D158FF" w:rsidRDefault="00D158FF" w:rsidP="00D158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484" w14:textId="77777777" w:rsidR="00D158FF" w:rsidRPr="008D5D1B" w:rsidRDefault="00D158FF" w:rsidP="00D158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HGK</w:t>
            </w:r>
          </w:p>
        </w:tc>
        <w:tc>
          <w:tcPr>
            <w:tcW w:w="475" w:type="pct"/>
            <w:vMerge/>
            <w:vAlign w:val="center"/>
            <w:hideMark/>
          </w:tcPr>
          <w:p w14:paraId="6D841485" w14:textId="77777777" w:rsidR="00D158FF" w:rsidRPr="008D5D1B" w:rsidRDefault="00D158FF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14:paraId="6D841486" w14:textId="77777777" w:rsidR="00D158FF" w:rsidRPr="008D5D1B" w:rsidRDefault="00D158FF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25" w:type="pct"/>
            <w:vMerge/>
            <w:vAlign w:val="center"/>
            <w:hideMark/>
          </w:tcPr>
          <w:p w14:paraId="6D841487" w14:textId="77777777" w:rsidR="00D158FF" w:rsidRPr="008D5D1B" w:rsidRDefault="00D158FF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</w:tr>
      <w:tr w:rsidR="00D158FF" w:rsidRPr="008D5D1B" w14:paraId="6D841491" w14:textId="77777777" w:rsidTr="00D158FF">
        <w:trPr>
          <w:jc w:val="center"/>
        </w:trPr>
        <w:tc>
          <w:tcPr>
            <w:tcW w:w="209" w:type="pct"/>
            <w:vMerge/>
            <w:vAlign w:val="center"/>
          </w:tcPr>
          <w:p w14:paraId="6D841489" w14:textId="77777777" w:rsidR="00D158FF" w:rsidRPr="008D5D1B" w:rsidRDefault="00D158FF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03" w:type="pct"/>
            <w:vMerge/>
            <w:vAlign w:val="center"/>
          </w:tcPr>
          <w:p w14:paraId="6D84148A" w14:textId="77777777" w:rsidR="00D158FF" w:rsidRPr="008D5D1B" w:rsidRDefault="00D158FF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915" w:type="pct"/>
            <w:vMerge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48B" w14:textId="77777777" w:rsidR="00D158FF" w:rsidRPr="008D5D1B" w:rsidRDefault="00D158FF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1169" w:type="pct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6D84148C" w14:textId="77777777" w:rsidR="00D158FF" w:rsidRDefault="00D158FF" w:rsidP="00D158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48D" w14:textId="77777777" w:rsidR="00D158FF" w:rsidRPr="008D5D1B" w:rsidRDefault="00D158FF" w:rsidP="00D158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HIFE</w:t>
            </w:r>
          </w:p>
        </w:tc>
        <w:tc>
          <w:tcPr>
            <w:tcW w:w="475" w:type="pct"/>
            <w:vMerge/>
            <w:vAlign w:val="center"/>
          </w:tcPr>
          <w:p w14:paraId="6D84148E" w14:textId="77777777" w:rsidR="00D158FF" w:rsidRPr="008D5D1B" w:rsidRDefault="00D158FF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604" w:type="pct"/>
            <w:vMerge/>
            <w:vAlign w:val="center"/>
          </w:tcPr>
          <w:p w14:paraId="6D84148F" w14:textId="77777777" w:rsidR="00D158FF" w:rsidRPr="008D5D1B" w:rsidRDefault="00D158FF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25" w:type="pct"/>
            <w:vMerge/>
            <w:vAlign w:val="center"/>
          </w:tcPr>
          <w:p w14:paraId="6D841490" w14:textId="77777777" w:rsidR="00D158FF" w:rsidRPr="008D5D1B" w:rsidRDefault="00D158FF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</w:tr>
      <w:tr w:rsidR="00D158FF" w:rsidRPr="008D5D1B" w14:paraId="6D84149A" w14:textId="77777777" w:rsidTr="00D158FF">
        <w:trPr>
          <w:trHeight w:val="308"/>
          <w:jc w:val="center"/>
        </w:trPr>
        <w:tc>
          <w:tcPr>
            <w:tcW w:w="209" w:type="pct"/>
            <w:vMerge/>
            <w:vAlign w:val="center"/>
          </w:tcPr>
          <w:p w14:paraId="6D841492" w14:textId="77777777" w:rsidR="00D158FF" w:rsidRPr="008D5D1B" w:rsidRDefault="00D158FF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03" w:type="pct"/>
            <w:vMerge/>
            <w:vAlign w:val="center"/>
          </w:tcPr>
          <w:p w14:paraId="6D841493" w14:textId="77777777" w:rsidR="00D158FF" w:rsidRPr="008D5D1B" w:rsidRDefault="00D158FF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915" w:type="pct"/>
            <w:vMerge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494" w14:textId="77777777" w:rsidR="00D158FF" w:rsidRPr="008D5D1B" w:rsidRDefault="00D158FF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1169" w:type="pct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6D841495" w14:textId="77777777" w:rsidR="00D158FF" w:rsidRDefault="00D158FF" w:rsidP="00D158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496" w14:textId="77777777" w:rsidR="00D158FF" w:rsidRPr="008D5D1B" w:rsidRDefault="00D158FF" w:rsidP="00D158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ŠTEDOPIS</w:t>
            </w:r>
          </w:p>
        </w:tc>
        <w:tc>
          <w:tcPr>
            <w:tcW w:w="475" w:type="pct"/>
            <w:vMerge/>
            <w:vAlign w:val="center"/>
          </w:tcPr>
          <w:p w14:paraId="6D841497" w14:textId="77777777" w:rsidR="00D158FF" w:rsidRPr="008D5D1B" w:rsidRDefault="00D158FF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604" w:type="pct"/>
            <w:vMerge/>
            <w:vAlign w:val="center"/>
          </w:tcPr>
          <w:p w14:paraId="6D841498" w14:textId="77777777" w:rsidR="00D158FF" w:rsidRPr="008D5D1B" w:rsidRDefault="00D158FF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25" w:type="pct"/>
            <w:vMerge/>
            <w:vAlign w:val="center"/>
          </w:tcPr>
          <w:p w14:paraId="6D841499" w14:textId="77777777" w:rsidR="00D158FF" w:rsidRPr="008D5D1B" w:rsidRDefault="00D158FF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</w:tr>
      <w:tr w:rsidR="00D158FF" w:rsidRPr="008D5D1B" w14:paraId="6D8414A3" w14:textId="77777777" w:rsidTr="00D158FF">
        <w:trPr>
          <w:trHeight w:val="313"/>
          <w:jc w:val="center"/>
        </w:trPr>
        <w:tc>
          <w:tcPr>
            <w:tcW w:w="209" w:type="pct"/>
            <w:vMerge/>
            <w:vAlign w:val="center"/>
          </w:tcPr>
          <w:p w14:paraId="6D84149B" w14:textId="77777777" w:rsidR="00D158FF" w:rsidRPr="008D5D1B" w:rsidRDefault="00D158FF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03" w:type="pct"/>
            <w:vMerge/>
            <w:vAlign w:val="center"/>
          </w:tcPr>
          <w:p w14:paraId="6D84149C" w14:textId="77777777" w:rsidR="00D158FF" w:rsidRPr="008D5D1B" w:rsidRDefault="00D158FF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915" w:type="pct"/>
            <w:vMerge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49D" w14:textId="77777777" w:rsidR="00D158FF" w:rsidRPr="008D5D1B" w:rsidRDefault="00D158FF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1169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49E" w14:textId="77777777" w:rsidR="00D158FF" w:rsidRDefault="00D158FF" w:rsidP="00D158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49F" w14:textId="77777777" w:rsidR="00D158FF" w:rsidRPr="008D5D1B" w:rsidRDefault="00D158FF" w:rsidP="00D158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EFZG</w:t>
            </w:r>
          </w:p>
        </w:tc>
        <w:tc>
          <w:tcPr>
            <w:tcW w:w="475" w:type="pct"/>
            <w:vMerge/>
            <w:vAlign w:val="center"/>
          </w:tcPr>
          <w:p w14:paraId="6D8414A0" w14:textId="77777777" w:rsidR="00D158FF" w:rsidRPr="008D5D1B" w:rsidRDefault="00D158FF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604" w:type="pct"/>
            <w:vMerge/>
            <w:vAlign w:val="center"/>
          </w:tcPr>
          <w:p w14:paraId="6D8414A1" w14:textId="77777777" w:rsidR="00D158FF" w:rsidRPr="008D5D1B" w:rsidRDefault="00D158FF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25" w:type="pct"/>
            <w:vMerge/>
            <w:vAlign w:val="center"/>
          </w:tcPr>
          <w:p w14:paraId="6D8414A2" w14:textId="77777777" w:rsidR="00D158FF" w:rsidRPr="008D5D1B" w:rsidRDefault="00D158FF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</w:tr>
      <w:tr w:rsidR="0099019C" w:rsidRPr="008D5D1B" w14:paraId="6D8414AB" w14:textId="77777777" w:rsidTr="0099019C">
        <w:trPr>
          <w:jc w:val="center"/>
        </w:trPr>
        <w:tc>
          <w:tcPr>
            <w:tcW w:w="209" w:type="pct"/>
            <w:vMerge/>
            <w:vAlign w:val="center"/>
            <w:hideMark/>
          </w:tcPr>
          <w:p w14:paraId="6D8414A4" w14:textId="77777777" w:rsidR="0099019C" w:rsidRPr="008D5D1B" w:rsidRDefault="0099019C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03" w:type="pct"/>
            <w:vMerge/>
            <w:vAlign w:val="center"/>
            <w:hideMark/>
          </w:tcPr>
          <w:p w14:paraId="6D8414A5" w14:textId="77777777" w:rsidR="0099019C" w:rsidRPr="008D5D1B" w:rsidRDefault="0099019C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91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4A6" w14:textId="77777777" w:rsidR="0099019C" w:rsidRPr="008D5D1B" w:rsidRDefault="0099019C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Obilježavanje Svjetskog dana kreditnih unija.</w:t>
            </w:r>
          </w:p>
        </w:tc>
        <w:tc>
          <w:tcPr>
            <w:tcW w:w="1169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4A7" w14:textId="77777777" w:rsidR="0099019C" w:rsidRPr="008D5D1B" w:rsidRDefault="0099019C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HUP</w:t>
            </w:r>
          </w:p>
        </w:tc>
        <w:tc>
          <w:tcPr>
            <w:tcW w:w="475" w:type="pct"/>
            <w:vMerge/>
            <w:vAlign w:val="center"/>
            <w:hideMark/>
          </w:tcPr>
          <w:p w14:paraId="6D8414A8" w14:textId="77777777" w:rsidR="0099019C" w:rsidRPr="008D5D1B" w:rsidRDefault="0099019C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14:paraId="6D8414A9" w14:textId="77777777" w:rsidR="0099019C" w:rsidRPr="008D5D1B" w:rsidRDefault="0099019C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25" w:type="pct"/>
            <w:vMerge/>
            <w:vAlign w:val="center"/>
            <w:hideMark/>
          </w:tcPr>
          <w:p w14:paraId="6D8414AA" w14:textId="77777777" w:rsidR="0099019C" w:rsidRPr="008D5D1B" w:rsidRDefault="0099019C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</w:tr>
      <w:tr w:rsidR="0099019C" w:rsidRPr="008D5D1B" w14:paraId="6D8414C1" w14:textId="77777777" w:rsidTr="0099019C">
        <w:trPr>
          <w:jc w:val="center"/>
        </w:trPr>
        <w:tc>
          <w:tcPr>
            <w:tcW w:w="209" w:type="pct"/>
            <w:vMerge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4AC" w14:textId="77777777" w:rsidR="0099019C" w:rsidRPr="008D5D1B" w:rsidRDefault="0099019C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03" w:type="pct"/>
            <w:vMerge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4AD" w14:textId="77777777" w:rsidR="0099019C" w:rsidRPr="008D5D1B" w:rsidRDefault="0099019C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91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4AE" w14:textId="77777777" w:rsidR="0099019C" w:rsidRPr="008D5D1B" w:rsidRDefault="0099019C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Obilježavanje Europskog i Svjetskog tjedna novca.</w:t>
            </w:r>
          </w:p>
        </w:tc>
        <w:tc>
          <w:tcPr>
            <w:tcW w:w="1169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4AF" w14:textId="77777777" w:rsidR="0099019C" w:rsidRPr="008D5D1B" w:rsidRDefault="0099019C" w:rsidP="002E6603">
            <w:pPr>
              <w:spacing w:after="0" w:line="336" w:lineRule="atLeast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MINGPO</w:t>
            </w:r>
          </w:p>
          <w:p w14:paraId="6D8414B0" w14:textId="77777777" w:rsidR="0099019C" w:rsidRPr="008D5D1B" w:rsidRDefault="0099019C" w:rsidP="002E6603">
            <w:pPr>
              <w:spacing w:after="0" w:line="336" w:lineRule="atLeast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MZO</w:t>
            </w:r>
          </w:p>
          <w:p w14:paraId="6D8414B1" w14:textId="77777777" w:rsidR="0099019C" w:rsidRPr="008D5D1B" w:rsidRDefault="0099019C" w:rsidP="002E6603">
            <w:pPr>
              <w:spacing w:after="0" w:line="336" w:lineRule="atLeast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MFIN</w:t>
            </w:r>
          </w:p>
          <w:p w14:paraId="6D8414B2" w14:textId="77777777" w:rsidR="0099019C" w:rsidRPr="008D5D1B" w:rsidRDefault="0099019C" w:rsidP="002E6603">
            <w:pPr>
              <w:spacing w:after="0" w:line="336" w:lineRule="atLeast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AZOO</w:t>
            </w:r>
          </w:p>
          <w:p w14:paraId="6D8414B3" w14:textId="77777777" w:rsidR="0099019C" w:rsidRPr="008D5D1B" w:rsidRDefault="0099019C" w:rsidP="002E6603">
            <w:pPr>
              <w:spacing w:after="0" w:line="336" w:lineRule="atLeast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HNB</w:t>
            </w:r>
          </w:p>
          <w:p w14:paraId="6D8414B4" w14:textId="77777777" w:rsidR="0099019C" w:rsidRPr="008D5D1B" w:rsidRDefault="0099019C" w:rsidP="002E6603">
            <w:pPr>
              <w:spacing w:after="0" w:line="336" w:lineRule="atLeast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HANFA</w:t>
            </w:r>
          </w:p>
          <w:p w14:paraId="6D8414B5" w14:textId="77777777" w:rsidR="0099019C" w:rsidRPr="008D5D1B" w:rsidRDefault="0099019C" w:rsidP="002E6603">
            <w:pPr>
              <w:spacing w:after="0" w:line="336" w:lineRule="atLeast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HUO</w:t>
            </w:r>
          </w:p>
          <w:p w14:paraId="6D8414B6" w14:textId="77777777" w:rsidR="0099019C" w:rsidRPr="008D5D1B" w:rsidRDefault="0099019C" w:rsidP="002E6603">
            <w:pPr>
              <w:spacing w:after="0" w:line="336" w:lineRule="atLeast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HUB</w:t>
            </w:r>
          </w:p>
          <w:p w14:paraId="6D8414B7" w14:textId="77777777" w:rsidR="0099019C" w:rsidRPr="008D5D1B" w:rsidRDefault="0099019C" w:rsidP="002E6603">
            <w:pPr>
              <w:spacing w:after="0" w:line="336" w:lineRule="atLeast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HUP</w:t>
            </w:r>
          </w:p>
          <w:p w14:paraId="6D8414B8" w14:textId="77777777" w:rsidR="0099019C" w:rsidRPr="008D5D1B" w:rsidRDefault="0099019C" w:rsidP="002E6603">
            <w:pPr>
              <w:spacing w:after="0" w:line="336" w:lineRule="atLeast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HGK</w:t>
            </w:r>
          </w:p>
          <w:p w14:paraId="6D8414B9" w14:textId="77777777" w:rsidR="0099019C" w:rsidRPr="008D5D1B" w:rsidRDefault="0099019C" w:rsidP="002E6603">
            <w:pPr>
              <w:spacing w:after="0" w:line="336" w:lineRule="atLeast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UMFO</w:t>
            </w:r>
          </w:p>
          <w:p w14:paraId="6D8414BA" w14:textId="77777777" w:rsidR="0099019C" w:rsidRDefault="0099019C" w:rsidP="002E6603">
            <w:pPr>
              <w:spacing w:after="0" w:line="336" w:lineRule="atLeast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ZSE</w:t>
            </w:r>
          </w:p>
          <w:p w14:paraId="6D8414BB" w14:textId="77777777" w:rsidR="0099019C" w:rsidRPr="008D5D1B" w:rsidRDefault="0099019C" w:rsidP="002E6603">
            <w:pPr>
              <w:spacing w:after="0" w:line="336" w:lineRule="atLeast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EFZG</w:t>
            </w:r>
          </w:p>
          <w:p w14:paraId="6D8414BC" w14:textId="77777777" w:rsidR="0099019C" w:rsidRDefault="0099019C" w:rsidP="002E6603">
            <w:pPr>
              <w:spacing w:after="0" w:line="336" w:lineRule="atLeast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ŠTEDOPIS</w:t>
            </w:r>
          </w:p>
          <w:p w14:paraId="6D8414BD" w14:textId="77777777" w:rsidR="0099019C" w:rsidRPr="008D5D1B" w:rsidRDefault="0099019C" w:rsidP="002E6603">
            <w:pPr>
              <w:spacing w:after="0" w:line="336" w:lineRule="atLeast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HIFE</w:t>
            </w:r>
          </w:p>
        </w:tc>
        <w:tc>
          <w:tcPr>
            <w:tcW w:w="47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4BE" w14:textId="77777777" w:rsidR="0099019C" w:rsidRPr="008D5D1B" w:rsidRDefault="0099019C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I. kvartal</w:t>
            </w:r>
          </w:p>
        </w:tc>
        <w:tc>
          <w:tcPr>
            <w:tcW w:w="604" w:type="pct"/>
            <w:vMerge/>
            <w:vAlign w:val="center"/>
            <w:hideMark/>
          </w:tcPr>
          <w:p w14:paraId="6D8414BF" w14:textId="77777777" w:rsidR="0099019C" w:rsidRPr="008D5D1B" w:rsidRDefault="0099019C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25" w:type="pct"/>
            <w:vMerge/>
            <w:vAlign w:val="center"/>
            <w:hideMark/>
          </w:tcPr>
          <w:p w14:paraId="6D8414C0" w14:textId="77777777" w:rsidR="0099019C" w:rsidRPr="008D5D1B" w:rsidRDefault="0099019C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</w:tr>
      <w:tr w:rsidR="0099019C" w:rsidRPr="008D5D1B" w14:paraId="6D8414CE" w14:textId="77777777" w:rsidTr="0099019C">
        <w:trPr>
          <w:jc w:val="center"/>
        </w:trPr>
        <w:tc>
          <w:tcPr>
            <w:tcW w:w="209" w:type="pct"/>
            <w:vMerge w:val="restar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4C2" w14:textId="77777777" w:rsidR="0099019C" w:rsidRPr="008D5D1B" w:rsidRDefault="0099019C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803" w:type="pct"/>
            <w:vMerge w:val="restar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4C3" w14:textId="77777777" w:rsidR="0099019C" w:rsidRPr="008D5D1B" w:rsidRDefault="0099019C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Informiranje potrošača i poslovnih subjekata o financijskim uslugama u cilju podizanja razine financijske pismenosti.</w:t>
            </w:r>
          </w:p>
        </w:tc>
        <w:tc>
          <w:tcPr>
            <w:tcW w:w="91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4C4" w14:textId="77777777" w:rsidR="0099019C" w:rsidRPr="008D5D1B" w:rsidRDefault="0065725F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Provođenje e</w:t>
            </w:r>
            <w:r w:rsidR="0099019C"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dukacija i informiranje potrošača i poslovnih subjekata o različitim financijskim proizvodima i uslugama (osiguranje, bankarstvo, leasing, faktoring, investicijski fondovi, mirovinski fondovi, tržište kapitala i drugo).</w:t>
            </w:r>
          </w:p>
        </w:tc>
        <w:tc>
          <w:tcPr>
            <w:tcW w:w="1169" w:type="pct"/>
            <w:vMerge w:val="restar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4C5" w14:textId="77777777" w:rsidR="0099019C" w:rsidRPr="008D5D1B" w:rsidRDefault="0099019C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HGK</w:t>
            </w:r>
          </w:p>
          <w:p w14:paraId="6D8414C6" w14:textId="77777777" w:rsidR="0099019C" w:rsidRPr="008D5D1B" w:rsidRDefault="0099019C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475" w:type="pct"/>
            <w:vMerge w:val="restar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4C7" w14:textId="77777777" w:rsidR="0099019C" w:rsidRPr="008D5D1B" w:rsidRDefault="0099019C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4C8" w14:textId="77777777" w:rsidR="0099019C" w:rsidRPr="008D5D1B" w:rsidRDefault="0099019C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Kontinuirano</w:t>
            </w:r>
          </w:p>
          <w:p w14:paraId="6D8414C9" w14:textId="77777777" w:rsidR="0099019C" w:rsidRPr="008D5D1B" w:rsidRDefault="0099019C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604" w:type="pct"/>
            <w:vMerge w:val="restar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4CA" w14:textId="77777777" w:rsidR="0099019C" w:rsidRPr="008D5D1B" w:rsidRDefault="0099019C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4CB" w14:textId="77777777" w:rsidR="0099019C" w:rsidRPr="008D5D1B" w:rsidRDefault="0099019C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4CC" w14:textId="77777777" w:rsidR="0099019C" w:rsidRPr="008D5D1B" w:rsidRDefault="0099019C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HGK, HUB, HUP, ŠTEDOPIS, – vlastita sredstva</w:t>
            </w:r>
          </w:p>
        </w:tc>
        <w:tc>
          <w:tcPr>
            <w:tcW w:w="82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4CD" w14:textId="77777777" w:rsidR="0099019C" w:rsidRPr="008D5D1B" w:rsidRDefault="0099019C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Broj provedenih</w:t>
            </w: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 edukacija i drugih oblika informiranja te broj sudionika u cilju podizanja razine financijske pismenosti potrošača i poslovnih subjekata.</w:t>
            </w:r>
          </w:p>
        </w:tc>
      </w:tr>
      <w:tr w:rsidR="0099019C" w:rsidRPr="008D5D1B" w14:paraId="6D8414D6" w14:textId="77777777" w:rsidTr="0099019C">
        <w:trPr>
          <w:jc w:val="center"/>
        </w:trPr>
        <w:tc>
          <w:tcPr>
            <w:tcW w:w="209" w:type="pct"/>
            <w:vMerge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4CF" w14:textId="77777777" w:rsidR="0099019C" w:rsidRPr="008D5D1B" w:rsidRDefault="0099019C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03" w:type="pct"/>
            <w:vMerge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4D0" w14:textId="77777777" w:rsidR="0099019C" w:rsidRPr="008D5D1B" w:rsidRDefault="0099019C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91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4D1" w14:textId="77777777" w:rsidR="0099019C" w:rsidRPr="008D5D1B" w:rsidRDefault="0099019C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Održavanje</w:t>
            </w: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 radionica i drugih oblika informiranja o SEPA platnim uslugama u suradnji s ostalim članovima hrvatskog SEPA foruma</w:t>
            </w:r>
            <w:r w:rsidRPr="008D5D1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(HUB, HNB, FINA, MFIN). Ažuriranje web stanice www.sepa.hr te odgovori na upite upućeni put</w:t>
            </w: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em kontakt adrese info@sepa.hr</w:t>
            </w:r>
          </w:p>
        </w:tc>
        <w:tc>
          <w:tcPr>
            <w:tcW w:w="1169" w:type="pct"/>
            <w:vMerge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4D2" w14:textId="77777777" w:rsidR="0099019C" w:rsidRPr="008D5D1B" w:rsidRDefault="0099019C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475" w:type="pct"/>
            <w:vMerge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4D3" w14:textId="77777777" w:rsidR="0099019C" w:rsidRPr="008D5D1B" w:rsidRDefault="0099019C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604" w:type="pct"/>
            <w:vMerge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4D4" w14:textId="77777777" w:rsidR="0099019C" w:rsidRPr="008D5D1B" w:rsidRDefault="0099019C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2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4D5" w14:textId="77777777" w:rsidR="0099019C" w:rsidRPr="008D5D1B" w:rsidRDefault="0065725F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Broj održanih</w:t>
            </w:r>
            <w:r w:rsidR="0099019C"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 radionica i drugih oblika informiranja, redovito održavanje i ažuriranje www.sepa.hr te objave na www.hgk.hr</w:t>
            </w:r>
          </w:p>
        </w:tc>
      </w:tr>
      <w:tr w:rsidR="0099019C" w:rsidRPr="008D5D1B" w14:paraId="6D8414DE" w14:textId="77777777" w:rsidTr="0099019C">
        <w:trPr>
          <w:jc w:val="center"/>
        </w:trPr>
        <w:tc>
          <w:tcPr>
            <w:tcW w:w="209" w:type="pct"/>
            <w:vMerge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4D7" w14:textId="77777777" w:rsidR="0099019C" w:rsidRPr="008D5D1B" w:rsidRDefault="0099019C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03" w:type="pct"/>
            <w:vMerge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4D8" w14:textId="77777777" w:rsidR="0099019C" w:rsidRPr="008D5D1B" w:rsidRDefault="0099019C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91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4D9" w14:textId="77777777" w:rsidR="0099019C" w:rsidRPr="008D5D1B" w:rsidRDefault="0099019C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Informiranja članova HUP-a o važnosti financijske edukacije.</w:t>
            </w:r>
          </w:p>
        </w:tc>
        <w:tc>
          <w:tcPr>
            <w:tcW w:w="1169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4DA" w14:textId="77777777" w:rsidR="0099019C" w:rsidRPr="008D5D1B" w:rsidRDefault="0099019C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HUP</w:t>
            </w:r>
          </w:p>
        </w:tc>
        <w:tc>
          <w:tcPr>
            <w:tcW w:w="47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4DB" w14:textId="77777777" w:rsidR="0099019C" w:rsidRPr="008D5D1B" w:rsidRDefault="0099019C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Kontinuirano</w:t>
            </w:r>
          </w:p>
        </w:tc>
        <w:tc>
          <w:tcPr>
            <w:tcW w:w="604" w:type="pct"/>
            <w:vMerge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4DC" w14:textId="77777777" w:rsidR="0099019C" w:rsidRPr="008D5D1B" w:rsidRDefault="0099019C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2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4DD" w14:textId="77777777" w:rsidR="0099019C" w:rsidRPr="008D5D1B" w:rsidRDefault="00B21BA8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Broj upućene elektronske pošte članovima sa informativnim tekstovima o važnosti financijske edukacije za članove iz nefinancijskog sektora.</w:t>
            </w:r>
            <w:r w:rsidR="0065725F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.</w:t>
            </w:r>
          </w:p>
        </w:tc>
      </w:tr>
      <w:tr w:rsidR="0099019C" w:rsidRPr="008D5D1B" w14:paraId="6D8414E8" w14:textId="77777777" w:rsidTr="0099019C">
        <w:trPr>
          <w:jc w:val="center"/>
        </w:trPr>
        <w:tc>
          <w:tcPr>
            <w:tcW w:w="209" w:type="pct"/>
            <w:vMerge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4DF" w14:textId="77777777" w:rsidR="0099019C" w:rsidRPr="008D5D1B" w:rsidRDefault="0099019C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03" w:type="pct"/>
            <w:vMerge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4E0" w14:textId="77777777" w:rsidR="0099019C" w:rsidRPr="008D5D1B" w:rsidRDefault="0099019C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91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4E1" w14:textId="77777777" w:rsidR="0099019C" w:rsidRPr="008D5D1B" w:rsidRDefault="0099019C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Informiranje  javnosti  iz p</w:t>
            </w:r>
            <w:r w:rsidR="0065725F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odručja financijske pismenosti.</w:t>
            </w:r>
          </w:p>
          <w:p w14:paraId="6D8414E2" w14:textId="77777777" w:rsidR="0099019C" w:rsidRPr="008D5D1B" w:rsidRDefault="0099019C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Distribucija informativnih tekstova (newslettera).</w:t>
            </w:r>
          </w:p>
        </w:tc>
        <w:tc>
          <w:tcPr>
            <w:tcW w:w="1169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4E3" w14:textId="77777777" w:rsidR="0099019C" w:rsidRPr="008D5D1B" w:rsidRDefault="0099019C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ŠTEDOPIS</w:t>
            </w:r>
          </w:p>
        </w:tc>
        <w:tc>
          <w:tcPr>
            <w:tcW w:w="47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4E4" w14:textId="77777777" w:rsidR="0099019C" w:rsidRPr="008D5D1B" w:rsidRDefault="0099019C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Kontinuirano</w:t>
            </w:r>
          </w:p>
        </w:tc>
        <w:tc>
          <w:tcPr>
            <w:tcW w:w="604" w:type="pct"/>
            <w:vMerge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4E5" w14:textId="77777777" w:rsidR="0099019C" w:rsidRPr="008D5D1B" w:rsidRDefault="0099019C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2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4E6" w14:textId="77777777" w:rsidR="0099019C" w:rsidRPr="008D5D1B" w:rsidRDefault="0099019C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Broj objavljenih priopćenja. </w:t>
            </w:r>
          </w:p>
          <w:p w14:paraId="6D8414E7" w14:textId="77777777" w:rsidR="0099019C" w:rsidRPr="008D5D1B" w:rsidRDefault="0099019C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Broj distribuiranih informativnih tekstova (newslettera).</w:t>
            </w:r>
          </w:p>
        </w:tc>
      </w:tr>
      <w:tr w:rsidR="00B21BA8" w:rsidRPr="008D5D1B" w14:paraId="6D841544" w14:textId="77777777" w:rsidTr="00744011">
        <w:trPr>
          <w:trHeight w:val="659"/>
          <w:jc w:val="center"/>
        </w:trPr>
        <w:tc>
          <w:tcPr>
            <w:tcW w:w="209" w:type="pct"/>
            <w:vMerge w:val="restar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4E9" w14:textId="77777777" w:rsidR="00744011" w:rsidRDefault="00744011" w:rsidP="00744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4EA" w14:textId="77777777" w:rsidR="00744011" w:rsidRDefault="00744011" w:rsidP="00744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4EB" w14:textId="77777777" w:rsidR="00744011" w:rsidRDefault="00744011" w:rsidP="00744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4EC" w14:textId="77777777" w:rsidR="00744011" w:rsidRDefault="00744011" w:rsidP="00744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4ED" w14:textId="77777777" w:rsidR="00744011" w:rsidRDefault="00744011" w:rsidP="00744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4EE" w14:textId="77777777" w:rsidR="00744011" w:rsidRDefault="00744011" w:rsidP="00744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4EF" w14:textId="77777777" w:rsidR="00744011" w:rsidRDefault="00744011" w:rsidP="00744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4F0" w14:textId="77777777" w:rsidR="00744011" w:rsidRDefault="00744011" w:rsidP="00744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4F1" w14:textId="77777777" w:rsidR="00744011" w:rsidRDefault="00744011" w:rsidP="00744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4F2" w14:textId="77777777" w:rsidR="00744011" w:rsidRDefault="00744011" w:rsidP="00744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4F3" w14:textId="77777777" w:rsidR="00744011" w:rsidRDefault="00744011" w:rsidP="00744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4F4" w14:textId="77777777" w:rsidR="00744011" w:rsidRDefault="00744011" w:rsidP="00744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4F5" w14:textId="77777777" w:rsidR="00B21BA8" w:rsidRDefault="00B21BA8" w:rsidP="00744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10.</w:t>
            </w:r>
          </w:p>
          <w:p w14:paraId="6D8414F6" w14:textId="77777777" w:rsidR="00B21BA8" w:rsidRPr="00B21BA8" w:rsidRDefault="00B21BA8" w:rsidP="0074401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  <w:p w14:paraId="6D8414F7" w14:textId="77777777" w:rsidR="00B21BA8" w:rsidRPr="00B21BA8" w:rsidRDefault="00B21BA8" w:rsidP="0074401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  <w:p w14:paraId="6D8414F8" w14:textId="77777777" w:rsidR="00B21BA8" w:rsidRDefault="00B21BA8" w:rsidP="0074401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  <w:p w14:paraId="6D8414F9" w14:textId="77777777" w:rsidR="00B21BA8" w:rsidRDefault="00B21BA8" w:rsidP="0074401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  <w:p w14:paraId="6D8414FA" w14:textId="77777777" w:rsidR="00B21BA8" w:rsidRDefault="00B21BA8" w:rsidP="0074401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  <w:p w14:paraId="6D8414FB" w14:textId="77777777" w:rsidR="00B21BA8" w:rsidRDefault="00B21BA8" w:rsidP="0074401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  <w:p w14:paraId="6D8414FC" w14:textId="77777777" w:rsidR="00B21BA8" w:rsidRDefault="00B21BA8" w:rsidP="0074401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  <w:p w14:paraId="6D8414FD" w14:textId="77777777" w:rsidR="00B21BA8" w:rsidRDefault="00B21BA8" w:rsidP="0074401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  <w:p w14:paraId="6D8414FE" w14:textId="77777777" w:rsidR="00B21BA8" w:rsidRDefault="00B21BA8" w:rsidP="0074401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  <w:p w14:paraId="6D8414FF" w14:textId="77777777" w:rsidR="00B21BA8" w:rsidRDefault="00B21BA8" w:rsidP="0074401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  <w:p w14:paraId="6D841500" w14:textId="77777777" w:rsidR="00B21BA8" w:rsidRDefault="00B21BA8" w:rsidP="0074401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  <w:p w14:paraId="6D841501" w14:textId="77777777" w:rsidR="00B21BA8" w:rsidRDefault="00B21BA8" w:rsidP="0074401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  <w:p w14:paraId="6D841502" w14:textId="77777777" w:rsidR="00B21BA8" w:rsidRDefault="00B21BA8" w:rsidP="0074401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  <w:p w14:paraId="6D841503" w14:textId="77777777" w:rsidR="00B21BA8" w:rsidRDefault="00B21BA8" w:rsidP="0074401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  <w:p w14:paraId="6D841504" w14:textId="77777777" w:rsidR="00B21BA8" w:rsidRPr="00B21BA8" w:rsidRDefault="00B21BA8" w:rsidP="0074401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3" w:type="pct"/>
            <w:vMerge w:val="restar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505" w14:textId="77777777" w:rsidR="00B21BA8" w:rsidRDefault="00B21BA8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506" w14:textId="77777777" w:rsidR="00B21BA8" w:rsidRDefault="00B21BA8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507" w14:textId="77777777" w:rsidR="00B21BA8" w:rsidRDefault="00B21BA8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508" w14:textId="77777777" w:rsidR="00B21BA8" w:rsidRDefault="00B21BA8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509" w14:textId="77777777" w:rsidR="00B21BA8" w:rsidRDefault="00B21BA8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50A" w14:textId="77777777" w:rsidR="00B21BA8" w:rsidRDefault="00B21BA8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50B" w14:textId="77777777" w:rsidR="00B21BA8" w:rsidRDefault="00B21BA8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50C" w14:textId="77777777" w:rsidR="00B21BA8" w:rsidRDefault="00B21BA8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50D" w14:textId="77777777" w:rsidR="00B21BA8" w:rsidRDefault="00B21BA8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50E" w14:textId="77777777" w:rsidR="00B21BA8" w:rsidRDefault="00B21BA8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50F" w14:textId="77777777" w:rsidR="00B21BA8" w:rsidRPr="008D5D1B" w:rsidRDefault="00B21BA8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510" w14:textId="77777777" w:rsidR="00B21BA8" w:rsidRPr="008D5D1B" w:rsidRDefault="00B21BA8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Provođenje drugih aktivnosti usmjerenih na podizanje razine financijske pismenosti.</w:t>
            </w:r>
          </w:p>
          <w:p w14:paraId="6D841511" w14:textId="77777777" w:rsidR="00B21BA8" w:rsidRDefault="00B21BA8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512" w14:textId="77777777" w:rsidR="00B21BA8" w:rsidRDefault="00B21BA8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513" w14:textId="77777777" w:rsidR="00B21BA8" w:rsidRDefault="00B21BA8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514" w14:textId="77777777" w:rsidR="00B21BA8" w:rsidRDefault="00B21BA8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515" w14:textId="77777777" w:rsidR="00B21BA8" w:rsidRDefault="00B21BA8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516" w14:textId="77777777" w:rsidR="00B21BA8" w:rsidRDefault="00B21BA8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517" w14:textId="77777777" w:rsidR="00B21BA8" w:rsidRDefault="00B21BA8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518" w14:textId="77777777" w:rsidR="00B21BA8" w:rsidRDefault="00B21BA8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519" w14:textId="77777777" w:rsidR="00B21BA8" w:rsidRDefault="00B21BA8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51A" w14:textId="77777777" w:rsidR="00B21BA8" w:rsidRDefault="00B21BA8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51B" w14:textId="77777777" w:rsidR="00B21BA8" w:rsidRDefault="00B21BA8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51C" w14:textId="77777777" w:rsidR="00B21BA8" w:rsidRDefault="00B21BA8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51D" w14:textId="77777777" w:rsidR="00B21BA8" w:rsidRDefault="00B21BA8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51E" w14:textId="77777777" w:rsidR="00B21BA8" w:rsidRDefault="00B21BA8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51F" w14:textId="77777777" w:rsidR="00B21BA8" w:rsidRDefault="00B21BA8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520" w14:textId="77777777" w:rsidR="00B21BA8" w:rsidRDefault="00B21BA8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521" w14:textId="77777777" w:rsidR="00B21BA8" w:rsidRDefault="00B21BA8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522" w14:textId="77777777" w:rsidR="00B21BA8" w:rsidRDefault="00B21BA8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523" w14:textId="77777777" w:rsidR="00B21BA8" w:rsidRDefault="00B21BA8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524" w14:textId="77777777" w:rsidR="00B21BA8" w:rsidRDefault="00B21BA8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525" w14:textId="77777777" w:rsidR="00B21BA8" w:rsidRDefault="00B21BA8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526" w14:textId="77777777" w:rsidR="00B21BA8" w:rsidRDefault="00B21BA8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527" w14:textId="77777777" w:rsidR="00B21BA8" w:rsidRDefault="00B21BA8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528" w14:textId="77777777" w:rsidR="00B21BA8" w:rsidRPr="008D5D1B" w:rsidRDefault="00B21BA8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91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529" w14:textId="77777777" w:rsidR="00B21BA8" w:rsidRPr="008D5D1B" w:rsidRDefault="00B21BA8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Provođenje promotivne</w:t>
            </w: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 ka</w:t>
            </w: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mpanje</w:t>
            </w: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 o funkcioniranju OMF-a i DMF-a.</w:t>
            </w:r>
          </w:p>
        </w:tc>
        <w:tc>
          <w:tcPr>
            <w:tcW w:w="1169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52A" w14:textId="77777777" w:rsidR="00B21BA8" w:rsidRPr="008D5D1B" w:rsidRDefault="00B21BA8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UMFO</w:t>
            </w:r>
          </w:p>
        </w:tc>
        <w:tc>
          <w:tcPr>
            <w:tcW w:w="47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52B" w14:textId="77777777" w:rsidR="00B21BA8" w:rsidRPr="008D5D1B" w:rsidRDefault="00B21BA8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II. i III. kvartal</w:t>
            </w:r>
          </w:p>
        </w:tc>
        <w:tc>
          <w:tcPr>
            <w:tcW w:w="604" w:type="pct"/>
            <w:vMerge w:val="restar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52C" w14:textId="77777777" w:rsidR="00B21BA8" w:rsidRDefault="00B21BA8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52D" w14:textId="77777777" w:rsidR="00B21BA8" w:rsidRDefault="00B21BA8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52E" w14:textId="77777777" w:rsidR="00B21BA8" w:rsidRDefault="00B21BA8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52F" w14:textId="77777777" w:rsidR="00B21BA8" w:rsidRDefault="00B21BA8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530" w14:textId="77777777" w:rsidR="00B21BA8" w:rsidRDefault="00B21BA8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531" w14:textId="77777777" w:rsidR="00B21BA8" w:rsidRDefault="00B21BA8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532" w14:textId="77777777" w:rsidR="00B21BA8" w:rsidRDefault="00B21BA8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533" w14:textId="77777777" w:rsidR="00B21BA8" w:rsidRDefault="00B21BA8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534" w14:textId="77777777" w:rsidR="00B21BA8" w:rsidRDefault="00B21BA8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535" w14:textId="77777777" w:rsidR="00B21BA8" w:rsidRDefault="00B21BA8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536" w14:textId="77777777" w:rsidR="00B21BA8" w:rsidRPr="008D5D1B" w:rsidRDefault="00B21BA8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537" w14:textId="77777777" w:rsidR="00B21BA8" w:rsidRDefault="00B21BA8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UMFO, HUO, FINA, HUB</w:t>
            </w: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, HUP</w:t>
            </w: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 – vlastita sredstva</w:t>
            </w:r>
          </w:p>
          <w:p w14:paraId="6D841538" w14:textId="77777777" w:rsidR="00B21BA8" w:rsidRPr="00B21BA8" w:rsidRDefault="00B21BA8" w:rsidP="00B21BA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  <w:p w14:paraId="6D841539" w14:textId="77777777" w:rsidR="00B21BA8" w:rsidRPr="00B21BA8" w:rsidRDefault="00B21BA8" w:rsidP="00B21BA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  <w:p w14:paraId="6D84153A" w14:textId="77777777" w:rsidR="00B21BA8" w:rsidRPr="00B21BA8" w:rsidRDefault="00B21BA8" w:rsidP="00B21BA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  <w:p w14:paraId="6D84153B" w14:textId="77777777" w:rsidR="00B21BA8" w:rsidRDefault="00B21BA8" w:rsidP="00B21BA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  <w:p w14:paraId="6D84153C" w14:textId="77777777" w:rsidR="00B21BA8" w:rsidRPr="00B21BA8" w:rsidRDefault="00B21BA8" w:rsidP="00B21BA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  <w:p w14:paraId="6D84153D" w14:textId="77777777" w:rsidR="00B21BA8" w:rsidRDefault="00B21BA8" w:rsidP="00B21BA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  <w:p w14:paraId="6D84153E" w14:textId="77777777" w:rsidR="00B21BA8" w:rsidRDefault="00B21BA8" w:rsidP="00B21BA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  <w:p w14:paraId="6D84153F" w14:textId="77777777" w:rsidR="00B21BA8" w:rsidRDefault="00B21BA8" w:rsidP="00B21BA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  <w:p w14:paraId="6D841540" w14:textId="77777777" w:rsidR="00B21BA8" w:rsidRDefault="00B21BA8" w:rsidP="00B21BA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  <w:p w14:paraId="6D841541" w14:textId="77777777" w:rsidR="00B21BA8" w:rsidRDefault="00B21BA8" w:rsidP="00B21BA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  <w:p w14:paraId="6D841542" w14:textId="77777777" w:rsidR="00B21BA8" w:rsidRPr="00B21BA8" w:rsidRDefault="00B21BA8" w:rsidP="00B21BA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543" w14:textId="77777777" w:rsidR="00B21BA8" w:rsidRPr="008D5D1B" w:rsidRDefault="00B21BA8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Broj aktivnosti usmjerenih na podizanje razine financijske pismenosti.</w:t>
            </w:r>
            <w:r w:rsidRPr="008D5D1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Provedena mini kampanja o  DMF-u.</w:t>
            </w:r>
          </w:p>
        </w:tc>
      </w:tr>
      <w:tr w:rsidR="00B21BA8" w:rsidRPr="008D5D1B" w14:paraId="6D84154C" w14:textId="77777777" w:rsidTr="0099019C">
        <w:trPr>
          <w:jc w:val="center"/>
        </w:trPr>
        <w:tc>
          <w:tcPr>
            <w:tcW w:w="209" w:type="pct"/>
            <w:vMerge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545" w14:textId="77777777" w:rsidR="00B21BA8" w:rsidRPr="008D5D1B" w:rsidRDefault="00B21BA8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03" w:type="pct"/>
            <w:vMerge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546" w14:textId="77777777" w:rsidR="00B21BA8" w:rsidRPr="008D5D1B" w:rsidRDefault="00B21BA8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91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547" w14:textId="77777777" w:rsidR="00B21BA8" w:rsidRPr="008D5D1B" w:rsidRDefault="00B21BA8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Promicanje financijske pismenosti i putem drugih aktivnosti u suradnji s društvima za osiguranje</w:t>
            </w:r>
          </w:p>
        </w:tc>
        <w:tc>
          <w:tcPr>
            <w:tcW w:w="1169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548" w14:textId="77777777" w:rsidR="00B21BA8" w:rsidRPr="008D5D1B" w:rsidRDefault="00B21BA8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HUO</w:t>
            </w:r>
          </w:p>
        </w:tc>
        <w:tc>
          <w:tcPr>
            <w:tcW w:w="47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549" w14:textId="77777777" w:rsidR="00B21BA8" w:rsidRPr="008D5D1B" w:rsidRDefault="00B21BA8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Kontinuira</w:t>
            </w: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n</w:t>
            </w: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o</w:t>
            </w:r>
          </w:p>
        </w:tc>
        <w:tc>
          <w:tcPr>
            <w:tcW w:w="604" w:type="pct"/>
            <w:vMerge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54A" w14:textId="77777777" w:rsidR="00B21BA8" w:rsidRPr="008D5D1B" w:rsidRDefault="00B21BA8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2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54B" w14:textId="77777777" w:rsidR="00B21BA8" w:rsidRPr="008D5D1B" w:rsidRDefault="00B21BA8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Aktivnosti  povezane s poticanjem svijesti o važnosti financijske edukacije iz područja osiguranja.</w:t>
            </w:r>
          </w:p>
        </w:tc>
      </w:tr>
      <w:tr w:rsidR="00B21BA8" w:rsidRPr="008D5D1B" w14:paraId="6D841556" w14:textId="77777777" w:rsidTr="0099019C">
        <w:trPr>
          <w:jc w:val="center"/>
        </w:trPr>
        <w:tc>
          <w:tcPr>
            <w:tcW w:w="209" w:type="pct"/>
            <w:vMerge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54D" w14:textId="77777777" w:rsidR="00B21BA8" w:rsidRPr="008D5D1B" w:rsidRDefault="00B21BA8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03" w:type="pct"/>
            <w:vMerge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54E" w14:textId="77777777" w:rsidR="00B21BA8" w:rsidRPr="008D5D1B" w:rsidRDefault="00B21BA8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91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54F" w14:textId="77777777" w:rsidR="00B21BA8" w:rsidRPr="008D5D1B" w:rsidRDefault="00B21BA8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Nastavak projekta „Reklame bez granica“-sudjelovanje na Noći muzeja 2019. (Gradski muzej Koprivnica) sa 3D digitalnim sadržajima.</w:t>
            </w:r>
          </w:p>
        </w:tc>
        <w:tc>
          <w:tcPr>
            <w:tcW w:w="1169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550" w14:textId="77777777" w:rsidR="00B21BA8" w:rsidRPr="008D5D1B" w:rsidRDefault="00B21BA8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HIFE</w:t>
            </w:r>
          </w:p>
        </w:tc>
        <w:tc>
          <w:tcPr>
            <w:tcW w:w="47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551" w14:textId="77777777" w:rsidR="00B21BA8" w:rsidRPr="008D5D1B" w:rsidRDefault="00B21BA8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I. kvartal</w:t>
            </w:r>
          </w:p>
        </w:tc>
        <w:tc>
          <w:tcPr>
            <w:tcW w:w="604" w:type="pct"/>
            <w:vMerge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552" w14:textId="77777777" w:rsidR="00B21BA8" w:rsidRPr="008D5D1B" w:rsidRDefault="00B21BA8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2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553" w14:textId="77777777" w:rsidR="00413D5B" w:rsidRDefault="00413D5B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Sudjelovanje na noći muzeja.</w:t>
            </w:r>
          </w:p>
          <w:p w14:paraId="6D841554" w14:textId="77777777" w:rsidR="00413D5B" w:rsidRPr="008D5D1B" w:rsidRDefault="00413D5B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*HIFE je na noći muzeja 1. veljače 2019. godine sudjelovao.Također, virtualnom izložbom „Podravka-industrijska baština“ a koju je snimio HIFE otvorena je noć muzeja u Koprivnici. Broj posjetitelja noći muzeja u Koprivnici: 2.323.</w:t>
            </w:r>
          </w:p>
          <w:p w14:paraId="6D841555" w14:textId="77777777" w:rsidR="00B21BA8" w:rsidRPr="008D5D1B" w:rsidRDefault="00B21BA8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</w:tr>
      <w:tr w:rsidR="00B21BA8" w:rsidRPr="008D5D1B" w14:paraId="6D841564" w14:textId="77777777" w:rsidTr="0099019C">
        <w:trPr>
          <w:jc w:val="center"/>
        </w:trPr>
        <w:tc>
          <w:tcPr>
            <w:tcW w:w="209" w:type="pct"/>
            <w:vMerge/>
            <w:vAlign w:val="center"/>
            <w:hideMark/>
          </w:tcPr>
          <w:p w14:paraId="6D841557" w14:textId="77777777" w:rsidR="00B21BA8" w:rsidRPr="008D5D1B" w:rsidRDefault="00B21BA8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03" w:type="pct"/>
            <w:vMerge/>
            <w:vAlign w:val="center"/>
            <w:hideMark/>
          </w:tcPr>
          <w:p w14:paraId="6D841558" w14:textId="77777777" w:rsidR="00B21BA8" w:rsidRPr="008D5D1B" w:rsidRDefault="00B21BA8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91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559" w14:textId="77777777" w:rsidR="00B21BA8" w:rsidRPr="008D5D1B" w:rsidRDefault="00B21BA8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Sudjelovanje zaposlenika FINA-e kao posrednika temeljem provođenja Zakona o stečaju potrošača.</w:t>
            </w:r>
          </w:p>
        </w:tc>
        <w:tc>
          <w:tcPr>
            <w:tcW w:w="1169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55A" w14:textId="77777777" w:rsidR="00B21BA8" w:rsidRPr="008D5D1B" w:rsidRDefault="00B21BA8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FINA</w:t>
            </w:r>
          </w:p>
        </w:tc>
        <w:tc>
          <w:tcPr>
            <w:tcW w:w="475" w:type="pct"/>
            <w:vMerge w:val="restart"/>
            <w:vAlign w:val="center"/>
            <w:hideMark/>
          </w:tcPr>
          <w:p w14:paraId="6D84155B" w14:textId="77777777" w:rsidR="00B21BA8" w:rsidRPr="008D5D1B" w:rsidRDefault="00B21BA8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Kontinuirano</w:t>
            </w:r>
          </w:p>
        </w:tc>
        <w:tc>
          <w:tcPr>
            <w:tcW w:w="604" w:type="pct"/>
            <w:vMerge/>
            <w:vAlign w:val="center"/>
            <w:hideMark/>
          </w:tcPr>
          <w:p w14:paraId="6D84155C" w14:textId="77777777" w:rsidR="00B21BA8" w:rsidRPr="008D5D1B" w:rsidRDefault="00B21BA8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25" w:type="pct"/>
            <w:vMerge w:val="restart"/>
            <w:vAlign w:val="center"/>
            <w:hideMark/>
          </w:tcPr>
          <w:p w14:paraId="6D84155D" w14:textId="77777777" w:rsidR="00413D5B" w:rsidRDefault="00413D5B" w:rsidP="00413D5B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413D5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Broj građana koji su inicirali postupak, a kojima su zaposlenici FINA-e u ulozi posrednika pomogli </w:t>
            </w:r>
          </w:p>
          <w:p w14:paraId="6D84155E" w14:textId="77777777" w:rsidR="00413D5B" w:rsidRDefault="00413D5B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da u dijelu koji prethodi sudskom postupku, utvrde svoje obveze i pokušaju sa svojim vjerovnicima postići izvansudsku nagodbu.</w:t>
            </w:r>
          </w:p>
          <w:p w14:paraId="6D84155F" w14:textId="77777777" w:rsidR="00413D5B" w:rsidRDefault="00413D5B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560" w14:textId="77777777" w:rsidR="00413D5B" w:rsidRPr="008D5D1B" w:rsidRDefault="00413D5B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Ažuriran sadržaj na internetskoj stranici sigurnostnainternetu.hr.</w:t>
            </w:r>
          </w:p>
          <w:p w14:paraId="6D841561" w14:textId="77777777" w:rsidR="00413D5B" w:rsidRPr="008D5D1B" w:rsidRDefault="00413D5B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Broj posjetitelja ili broj upita medija temeljem sadržaja na stranici sigurnostnainternetu.hr.</w:t>
            </w:r>
          </w:p>
          <w:p w14:paraId="6D841562" w14:textId="77777777" w:rsidR="00413D5B" w:rsidRPr="008D5D1B" w:rsidRDefault="00413D5B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  <w:p w14:paraId="6D841563" w14:textId="77777777" w:rsidR="00B21BA8" w:rsidRPr="008D5D1B" w:rsidRDefault="00B21BA8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</w:tr>
      <w:tr w:rsidR="00B21BA8" w:rsidRPr="008D5D1B" w14:paraId="6D84156C" w14:textId="77777777" w:rsidTr="0065725F">
        <w:trPr>
          <w:trHeight w:val="477"/>
          <w:jc w:val="center"/>
        </w:trPr>
        <w:tc>
          <w:tcPr>
            <w:tcW w:w="209" w:type="pct"/>
            <w:vMerge/>
            <w:vAlign w:val="center"/>
            <w:hideMark/>
          </w:tcPr>
          <w:p w14:paraId="6D841565" w14:textId="77777777" w:rsidR="00B21BA8" w:rsidRPr="008D5D1B" w:rsidRDefault="00B21BA8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03" w:type="pct"/>
            <w:vMerge/>
            <w:vAlign w:val="center"/>
            <w:hideMark/>
          </w:tcPr>
          <w:p w14:paraId="6D841566" w14:textId="77777777" w:rsidR="00B21BA8" w:rsidRPr="008D5D1B" w:rsidRDefault="00B21BA8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91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567" w14:textId="77777777" w:rsidR="00B21BA8" w:rsidRPr="008D5D1B" w:rsidRDefault="00B21BA8" w:rsidP="00352239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Ažuriranje sadržaja na internetskoj </w:t>
            </w: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stranici sigurnostnainternetu.hr., a koja je integrirana u novu web stranicu HUB-a kako bi se na taj način povećao doseg objava koje se pripremaju za stranicu, te punjenje sadržajem s aktualnim temama iz tog područja. </w:t>
            </w:r>
            <w:r w:rsidRPr="00352239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HUB će u suradnji s vanjskim i medijskim partnerima organizirati kampanju koja ima za cilj podizati svijest građana o rizicima i mog</w:t>
            </w: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ućim prijetnjama prilikom</w:t>
            </w:r>
            <w:r w:rsidRPr="00352239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 kupovine</w:t>
            </w: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 putem Interneta.</w:t>
            </w:r>
            <w:r w:rsidRPr="00352239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69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568" w14:textId="77777777" w:rsidR="00B21BA8" w:rsidRPr="008D5D1B" w:rsidRDefault="00B21BA8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HUB</w:t>
            </w:r>
          </w:p>
        </w:tc>
        <w:tc>
          <w:tcPr>
            <w:tcW w:w="475" w:type="pct"/>
            <w:vMerge/>
            <w:vAlign w:val="center"/>
            <w:hideMark/>
          </w:tcPr>
          <w:p w14:paraId="6D841569" w14:textId="77777777" w:rsidR="00B21BA8" w:rsidRPr="008D5D1B" w:rsidRDefault="00B21BA8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14:paraId="6D84156A" w14:textId="77777777" w:rsidR="00B21BA8" w:rsidRPr="008D5D1B" w:rsidRDefault="00B21BA8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25" w:type="pct"/>
            <w:vMerge/>
            <w:vAlign w:val="center"/>
            <w:hideMark/>
          </w:tcPr>
          <w:p w14:paraId="6D84156B" w14:textId="77777777" w:rsidR="00B21BA8" w:rsidRPr="008D5D1B" w:rsidRDefault="00B21BA8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</w:tr>
      <w:tr w:rsidR="00B21BA8" w:rsidRPr="008D5D1B" w14:paraId="6D841574" w14:textId="77777777" w:rsidTr="00DA78E2">
        <w:trPr>
          <w:trHeight w:val="1368"/>
          <w:jc w:val="center"/>
        </w:trPr>
        <w:tc>
          <w:tcPr>
            <w:tcW w:w="209" w:type="pct"/>
            <w:vMerge/>
            <w:vAlign w:val="center"/>
          </w:tcPr>
          <w:p w14:paraId="6D84156D" w14:textId="77777777" w:rsidR="00B21BA8" w:rsidRPr="008D5D1B" w:rsidRDefault="00B21BA8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03" w:type="pct"/>
            <w:vMerge/>
            <w:vAlign w:val="center"/>
          </w:tcPr>
          <w:p w14:paraId="6D84156E" w14:textId="77777777" w:rsidR="00B21BA8" w:rsidRPr="008D5D1B" w:rsidRDefault="00B21BA8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91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56F" w14:textId="77777777" w:rsidR="00B21BA8" w:rsidRPr="00DA78E2" w:rsidRDefault="00B21BA8" w:rsidP="00DA78E2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B21BA8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Inicijativa privatnog sektora za mlade“ u suradnji s EBRD-om</w:t>
            </w:r>
            <w:r w:rsidR="00DA78E2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69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D841570" w14:textId="77777777" w:rsidR="00B21BA8" w:rsidRPr="008D5D1B" w:rsidRDefault="00B21BA8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HUP</w:t>
            </w:r>
          </w:p>
        </w:tc>
        <w:tc>
          <w:tcPr>
            <w:tcW w:w="475" w:type="pct"/>
            <w:vAlign w:val="center"/>
          </w:tcPr>
          <w:p w14:paraId="6D841571" w14:textId="77777777" w:rsidR="00B21BA8" w:rsidRPr="008D5D1B" w:rsidRDefault="00B21BA8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Kontinuirano</w:t>
            </w:r>
          </w:p>
        </w:tc>
        <w:tc>
          <w:tcPr>
            <w:tcW w:w="604" w:type="pct"/>
            <w:vMerge/>
            <w:vAlign w:val="center"/>
          </w:tcPr>
          <w:p w14:paraId="6D841572" w14:textId="77777777" w:rsidR="00B21BA8" w:rsidRPr="008D5D1B" w:rsidRDefault="00B21BA8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825" w:type="pct"/>
            <w:vAlign w:val="center"/>
          </w:tcPr>
          <w:p w14:paraId="6D841573" w14:textId="77777777" w:rsidR="00B21BA8" w:rsidRPr="00DA78E2" w:rsidRDefault="00B21BA8" w:rsidP="00DA78E2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Broj polaznika i predavanja.</w:t>
            </w:r>
          </w:p>
        </w:tc>
      </w:tr>
      <w:tr w:rsidR="0099019C" w:rsidRPr="008D5D1B" w14:paraId="6D84157F" w14:textId="77777777" w:rsidTr="0099019C">
        <w:trPr>
          <w:jc w:val="center"/>
        </w:trPr>
        <w:tc>
          <w:tcPr>
            <w:tcW w:w="209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575" w14:textId="77777777" w:rsidR="0099019C" w:rsidRPr="008D5D1B" w:rsidRDefault="0099019C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803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576" w14:textId="77777777" w:rsidR="0099019C" w:rsidRPr="008D5D1B" w:rsidRDefault="0099019C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Provedba Programa međupredmetnih i interdisciplinarnih sadržaja Građanskog odgoja i obrazovanja za osnovne i srednje škole.</w:t>
            </w:r>
          </w:p>
        </w:tc>
        <w:tc>
          <w:tcPr>
            <w:tcW w:w="91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577" w14:textId="77777777" w:rsidR="0099019C" w:rsidRPr="008D5D1B" w:rsidRDefault="0099019C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Provedba Programa u osnovnim i srednjim školama.</w:t>
            </w:r>
          </w:p>
        </w:tc>
        <w:tc>
          <w:tcPr>
            <w:tcW w:w="1169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578" w14:textId="77777777" w:rsidR="0099019C" w:rsidRDefault="0099019C" w:rsidP="002E6603">
            <w:pPr>
              <w:spacing w:after="0" w:line="336" w:lineRule="atLeast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AZOO</w:t>
            </w:r>
          </w:p>
          <w:p w14:paraId="6D841579" w14:textId="77777777" w:rsidR="0099019C" w:rsidRPr="008D5D1B" w:rsidRDefault="0099019C" w:rsidP="002E6603">
            <w:pPr>
              <w:spacing w:after="0" w:line="336" w:lineRule="atLeast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EFZG</w:t>
            </w:r>
          </w:p>
          <w:p w14:paraId="6D84157A" w14:textId="77777777" w:rsidR="0099019C" w:rsidRPr="008D5D1B" w:rsidRDefault="0099019C" w:rsidP="002E6603">
            <w:pPr>
              <w:spacing w:after="0" w:line="336" w:lineRule="atLeast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ŠTEDOPIS</w:t>
            </w:r>
          </w:p>
        </w:tc>
        <w:tc>
          <w:tcPr>
            <w:tcW w:w="47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57B" w14:textId="77777777" w:rsidR="0099019C" w:rsidRPr="008D5D1B" w:rsidRDefault="0099019C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Kontinuirano</w:t>
            </w:r>
          </w:p>
        </w:tc>
        <w:tc>
          <w:tcPr>
            <w:tcW w:w="604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57C" w14:textId="77777777" w:rsidR="0099019C" w:rsidRPr="008D5D1B" w:rsidRDefault="0099019C" w:rsidP="002E6603">
            <w:pPr>
              <w:spacing w:after="0" w:line="336" w:lineRule="atLeast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AZOO– državni proračun</w:t>
            </w:r>
          </w:p>
          <w:p w14:paraId="6D84157D" w14:textId="77777777" w:rsidR="0099019C" w:rsidRPr="008D5D1B" w:rsidRDefault="0099019C" w:rsidP="002E6603">
            <w:pPr>
              <w:spacing w:after="0" w:line="336" w:lineRule="atLeast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ŠTEDOPIS</w:t>
            </w: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, EFZG</w:t>
            </w: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 – vlastita sredstva</w:t>
            </w:r>
          </w:p>
        </w:tc>
        <w:tc>
          <w:tcPr>
            <w:tcW w:w="82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57E" w14:textId="77777777" w:rsidR="0099019C" w:rsidRPr="008D5D1B" w:rsidRDefault="0099019C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Proveden Program međupredmetnih i interdisciplinarnih sadržaja Građanskog odgoja i obrazovanja za osnovne i srednje škole. Ocjena uspješnosti provedbe na temelju evaluacije učenika, odnosno nastavnika.</w:t>
            </w:r>
          </w:p>
        </w:tc>
      </w:tr>
      <w:tr w:rsidR="0099019C" w:rsidRPr="008D5D1B" w14:paraId="6D841587" w14:textId="77777777" w:rsidTr="0099019C">
        <w:trPr>
          <w:jc w:val="center"/>
        </w:trPr>
        <w:tc>
          <w:tcPr>
            <w:tcW w:w="209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580" w14:textId="77777777" w:rsidR="0099019C" w:rsidRPr="008D5D1B" w:rsidRDefault="0099019C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803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581" w14:textId="77777777" w:rsidR="0099019C" w:rsidRPr="008D5D1B" w:rsidRDefault="0099019C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Aktivnosti Koordinacije nebankarskih institucija na financijskom tržištu unutar HUP – udruge financijskog poslovanja.</w:t>
            </w:r>
          </w:p>
        </w:tc>
        <w:tc>
          <w:tcPr>
            <w:tcW w:w="91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582" w14:textId="77777777" w:rsidR="0099019C" w:rsidRPr="008D5D1B" w:rsidRDefault="0099019C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Promocija aktivnosti članova Koordinacije prema javnosti kako bi se upoznali s radom i ponudom </w:t>
            </w:r>
            <w:r w:rsidR="00DA78E2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financijskih usluga na</w:t>
            </w: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 tržištu (članovima HUP-a nefinancijskog sektora, prema nadležnim institucijama te široj javnosti).</w:t>
            </w:r>
          </w:p>
        </w:tc>
        <w:tc>
          <w:tcPr>
            <w:tcW w:w="1169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583" w14:textId="77777777" w:rsidR="0099019C" w:rsidRPr="008D5D1B" w:rsidRDefault="0099019C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HUP</w:t>
            </w:r>
          </w:p>
        </w:tc>
        <w:tc>
          <w:tcPr>
            <w:tcW w:w="47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584" w14:textId="77777777" w:rsidR="0099019C" w:rsidRPr="008D5D1B" w:rsidRDefault="0099019C" w:rsidP="002E66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Kontinuirano</w:t>
            </w:r>
          </w:p>
        </w:tc>
        <w:tc>
          <w:tcPr>
            <w:tcW w:w="604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585" w14:textId="77777777" w:rsidR="0099019C" w:rsidRPr="008D5D1B" w:rsidRDefault="0099019C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HUP – vlastita sredstva</w:t>
            </w:r>
          </w:p>
        </w:tc>
        <w:tc>
          <w:tcPr>
            <w:tcW w:w="825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41586" w14:textId="77777777" w:rsidR="0099019C" w:rsidRPr="008D5D1B" w:rsidRDefault="0065725F" w:rsidP="002E6603">
            <w:pPr>
              <w:spacing w:after="0" w:line="240" w:lineRule="auto"/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Javnost upoznata s r</w:t>
            </w:r>
            <w:r w:rsidR="0099019C"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ad</w:t>
            </w: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om</w:t>
            </w:r>
            <w:r w:rsidR="0099019C"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 i djelovanje</w:t>
            </w:r>
            <w:r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>m</w:t>
            </w:r>
            <w:r w:rsidR="0099019C" w:rsidRPr="008D5D1B">
              <w:rPr>
                <w:rFonts w:ascii="Arial Narrow" w:eastAsia="Times New Roman" w:hAnsi="Arial Narrow" w:cs="Times New Roman"/>
                <w:color w:val="666666"/>
                <w:sz w:val="20"/>
                <w:szCs w:val="20"/>
                <w:lang w:eastAsia="hr-HR"/>
              </w:rPr>
              <w:t xml:space="preserve"> Koordinacije nebankarskih institucija na financijskom tržištu.</w:t>
            </w:r>
          </w:p>
        </w:tc>
      </w:tr>
    </w:tbl>
    <w:p w14:paraId="6D841588" w14:textId="77777777" w:rsidR="009A5226" w:rsidRDefault="009A5226" w:rsidP="00BC4F73">
      <w:pPr>
        <w:spacing w:after="0" w:line="240" w:lineRule="auto"/>
        <w:rPr>
          <w:rFonts w:ascii="Arial Narrow" w:eastAsia="Times New Roman" w:hAnsi="Arial Narrow" w:cs="Times New Roman"/>
          <w:color w:val="666666"/>
          <w:lang w:eastAsia="hr-HR"/>
        </w:rPr>
      </w:pPr>
    </w:p>
    <w:p w14:paraId="6D841589" w14:textId="77777777" w:rsidR="009A5226" w:rsidRDefault="009A5226" w:rsidP="00BC4F73">
      <w:pPr>
        <w:spacing w:after="0" w:line="240" w:lineRule="auto"/>
        <w:rPr>
          <w:rFonts w:ascii="Arial Narrow" w:eastAsia="Times New Roman" w:hAnsi="Arial Narrow" w:cs="Times New Roman"/>
          <w:color w:val="666666"/>
          <w:lang w:eastAsia="hr-HR"/>
        </w:rPr>
      </w:pPr>
    </w:p>
    <w:p w14:paraId="6D84158A" w14:textId="77777777" w:rsidR="00413D5B" w:rsidRDefault="00413D5B" w:rsidP="00BC4F73">
      <w:pPr>
        <w:spacing w:after="0" w:line="240" w:lineRule="auto"/>
        <w:rPr>
          <w:rFonts w:ascii="Arial Narrow" w:eastAsia="Times New Roman" w:hAnsi="Arial Narrow" w:cs="Times New Roman"/>
          <w:color w:val="666666"/>
          <w:lang w:eastAsia="hr-HR"/>
        </w:rPr>
      </w:pPr>
    </w:p>
    <w:p w14:paraId="6D84158B" w14:textId="77777777" w:rsidR="00413D5B" w:rsidRDefault="00413D5B" w:rsidP="00BC4F73">
      <w:pPr>
        <w:spacing w:after="0" w:line="240" w:lineRule="auto"/>
        <w:rPr>
          <w:rFonts w:ascii="Arial Narrow" w:eastAsia="Times New Roman" w:hAnsi="Arial Narrow" w:cs="Times New Roman"/>
          <w:color w:val="666666"/>
          <w:lang w:eastAsia="hr-HR"/>
        </w:rPr>
      </w:pPr>
    </w:p>
    <w:p w14:paraId="6D84158C" w14:textId="77777777" w:rsidR="00413D5B" w:rsidRDefault="00413D5B" w:rsidP="00BC4F73">
      <w:pPr>
        <w:spacing w:after="0" w:line="240" w:lineRule="auto"/>
        <w:rPr>
          <w:rFonts w:ascii="Arial Narrow" w:eastAsia="Times New Roman" w:hAnsi="Arial Narrow" w:cs="Times New Roman"/>
          <w:color w:val="666666"/>
          <w:lang w:eastAsia="hr-HR"/>
        </w:rPr>
      </w:pPr>
    </w:p>
    <w:p w14:paraId="6D84158D" w14:textId="77777777" w:rsidR="00413D5B" w:rsidRDefault="00413D5B" w:rsidP="00BC4F73">
      <w:pPr>
        <w:spacing w:after="0" w:line="240" w:lineRule="auto"/>
        <w:rPr>
          <w:rFonts w:ascii="Arial Narrow" w:eastAsia="Times New Roman" w:hAnsi="Arial Narrow" w:cs="Times New Roman"/>
          <w:color w:val="666666"/>
          <w:lang w:eastAsia="hr-HR"/>
        </w:rPr>
      </w:pPr>
    </w:p>
    <w:p w14:paraId="6D84158E" w14:textId="77777777" w:rsidR="00413D5B" w:rsidRDefault="00413D5B" w:rsidP="00BC4F73">
      <w:pPr>
        <w:spacing w:after="0" w:line="240" w:lineRule="auto"/>
        <w:rPr>
          <w:rFonts w:ascii="Arial Narrow" w:eastAsia="Times New Roman" w:hAnsi="Arial Narrow" w:cs="Times New Roman"/>
          <w:color w:val="666666"/>
          <w:lang w:eastAsia="hr-HR"/>
        </w:rPr>
      </w:pPr>
    </w:p>
    <w:p w14:paraId="6D84158F" w14:textId="77777777" w:rsidR="00413D5B" w:rsidRDefault="00413D5B" w:rsidP="00BC4F73">
      <w:pPr>
        <w:spacing w:after="0" w:line="240" w:lineRule="auto"/>
        <w:rPr>
          <w:rFonts w:ascii="Arial Narrow" w:eastAsia="Times New Roman" w:hAnsi="Arial Narrow" w:cs="Times New Roman"/>
          <w:color w:val="666666"/>
          <w:lang w:eastAsia="hr-HR"/>
        </w:rPr>
      </w:pPr>
    </w:p>
    <w:p w14:paraId="6D841590" w14:textId="77777777" w:rsidR="00413D5B" w:rsidRDefault="00413D5B" w:rsidP="00BC4F73">
      <w:pPr>
        <w:spacing w:after="0" w:line="240" w:lineRule="auto"/>
        <w:rPr>
          <w:rFonts w:ascii="Arial Narrow" w:eastAsia="Times New Roman" w:hAnsi="Arial Narrow" w:cs="Times New Roman"/>
          <w:color w:val="666666"/>
          <w:lang w:eastAsia="hr-HR"/>
        </w:rPr>
      </w:pPr>
    </w:p>
    <w:p w14:paraId="6D841591" w14:textId="77777777" w:rsidR="00413D5B" w:rsidRDefault="00413D5B" w:rsidP="00BC4F73">
      <w:pPr>
        <w:spacing w:after="0" w:line="240" w:lineRule="auto"/>
        <w:rPr>
          <w:rFonts w:ascii="Arial Narrow" w:eastAsia="Times New Roman" w:hAnsi="Arial Narrow" w:cs="Times New Roman"/>
          <w:color w:val="666666"/>
          <w:lang w:eastAsia="hr-HR"/>
        </w:rPr>
      </w:pPr>
    </w:p>
    <w:p w14:paraId="6D841592" w14:textId="77777777" w:rsidR="00413D5B" w:rsidRDefault="00413D5B" w:rsidP="00BC4F73">
      <w:pPr>
        <w:spacing w:after="0" w:line="240" w:lineRule="auto"/>
        <w:rPr>
          <w:rFonts w:ascii="Arial Narrow" w:eastAsia="Times New Roman" w:hAnsi="Arial Narrow" w:cs="Times New Roman"/>
          <w:color w:val="666666"/>
          <w:lang w:eastAsia="hr-HR"/>
        </w:rPr>
      </w:pPr>
    </w:p>
    <w:p w14:paraId="6D841593" w14:textId="77777777" w:rsidR="00413D5B" w:rsidRDefault="00413D5B" w:rsidP="00BC4F73">
      <w:pPr>
        <w:spacing w:after="0" w:line="240" w:lineRule="auto"/>
        <w:rPr>
          <w:rFonts w:ascii="Arial Narrow" w:eastAsia="Times New Roman" w:hAnsi="Arial Narrow" w:cs="Times New Roman"/>
          <w:color w:val="666666"/>
          <w:lang w:eastAsia="hr-HR"/>
        </w:rPr>
      </w:pPr>
    </w:p>
    <w:p w14:paraId="6D841594" w14:textId="77777777" w:rsidR="00413D5B" w:rsidRDefault="00413D5B" w:rsidP="00BC4F73">
      <w:pPr>
        <w:spacing w:after="0" w:line="240" w:lineRule="auto"/>
        <w:rPr>
          <w:rFonts w:ascii="Arial Narrow" w:eastAsia="Times New Roman" w:hAnsi="Arial Narrow" w:cs="Times New Roman"/>
          <w:color w:val="666666"/>
          <w:lang w:eastAsia="hr-HR"/>
        </w:rPr>
      </w:pPr>
    </w:p>
    <w:p w14:paraId="6D841595" w14:textId="77777777" w:rsidR="00413D5B" w:rsidRDefault="00413D5B" w:rsidP="00BC4F73">
      <w:pPr>
        <w:spacing w:after="0" w:line="240" w:lineRule="auto"/>
        <w:rPr>
          <w:rFonts w:ascii="Arial Narrow" w:eastAsia="Times New Roman" w:hAnsi="Arial Narrow" w:cs="Times New Roman"/>
          <w:color w:val="666666"/>
          <w:lang w:eastAsia="hr-HR"/>
        </w:rPr>
      </w:pPr>
    </w:p>
    <w:p w14:paraId="6D841596" w14:textId="77777777" w:rsidR="00413D5B" w:rsidRDefault="00413D5B" w:rsidP="00BC4F73">
      <w:pPr>
        <w:spacing w:after="0" w:line="240" w:lineRule="auto"/>
        <w:rPr>
          <w:rFonts w:ascii="Arial Narrow" w:eastAsia="Times New Roman" w:hAnsi="Arial Narrow" w:cs="Times New Roman"/>
          <w:color w:val="666666"/>
          <w:lang w:eastAsia="hr-HR"/>
        </w:rPr>
      </w:pPr>
    </w:p>
    <w:p w14:paraId="6D841597" w14:textId="77777777" w:rsidR="00413D5B" w:rsidRDefault="00413D5B" w:rsidP="00BC4F73">
      <w:pPr>
        <w:spacing w:after="0" w:line="240" w:lineRule="auto"/>
        <w:rPr>
          <w:rFonts w:ascii="Arial Narrow" w:eastAsia="Times New Roman" w:hAnsi="Arial Narrow" w:cs="Times New Roman"/>
          <w:color w:val="666666"/>
          <w:lang w:eastAsia="hr-HR"/>
        </w:rPr>
      </w:pPr>
    </w:p>
    <w:p w14:paraId="6D841598" w14:textId="77777777" w:rsidR="00413D5B" w:rsidRDefault="00413D5B" w:rsidP="00BC4F73">
      <w:pPr>
        <w:spacing w:after="0" w:line="240" w:lineRule="auto"/>
        <w:rPr>
          <w:rFonts w:ascii="Arial Narrow" w:eastAsia="Times New Roman" w:hAnsi="Arial Narrow" w:cs="Times New Roman"/>
          <w:color w:val="666666"/>
          <w:lang w:eastAsia="hr-HR"/>
        </w:rPr>
      </w:pPr>
    </w:p>
    <w:p w14:paraId="6D841599" w14:textId="77777777" w:rsidR="00413D5B" w:rsidRDefault="00413D5B" w:rsidP="00BC4F73">
      <w:pPr>
        <w:spacing w:after="0" w:line="240" w:lineRule="auto"/>
        <w:rPr>
          <w:rFonts w:ascii="Arial Narrow" w:eastAsia="Times New Roman" w:hAnsi="Arial Narrow" w:cs="Times New Roman"/>
          <w:color w:val="666666"/>
          <w:lang w:eastAsia="hr-HR"/>
        </w:rPr>
      </w:pPr>
    </w:p>
    <w:p w14:paraId="6D84159A" w14:textId="77777777" w:rsidR="00413D5B" w:rsidRDefault="00413D5B" w:rsidP="00BC4F73">
      <w:pPr>
        <w:spacing w:after="0" w:line="240" w:lineRule="auto"/>
        <w:rPr>
          <w:rFonts w:ascii="Arial Narrow" w:eastAsia="Times New Roman" w:hAnsi="Arial Narrow" w:cs="Times New Roman"/>
          <w:color w:val="666666"/>
          <w:lang w:eastAsia="hr-HR"/>
        </w:rPr>
      </w:pPr>
    </w:p>
    <w:p w14:paraId="6D84159B" w14:textId="77777777" w:rsidR="00413D5B" w:rsidRDefault="00413D5B" w:rsidP="00BC4F73">
      <w:pPr>
        <w:spacing w:after="0" w:line="240" w:lineRule="auto"/>
        <w:rPr>
          <w:rFonts w:ascii="Arial Narrow" w:eastAsia="Times New Roman" w:hAnsi="Arial Narrow" w:cs="Times New Roman"/>
          <w:color w:val="666666"/>
          <w:lang w:eastAsia="hr-HR"/>
        </w:rPr>
      </w:pPr>
    </w:p>
    <w:p w14:paraId="6D84159C" w14:textId="77777777" w:rsidR="009A5226" w:rsidRDefault="009A5226" w:rsidP="00BC4F73">
      <w:pPr>
        <w:spacing w:after="0" w:line="240" w:lineRule="auto"/>
        <w:rPr>
          <w:rFonts w:ascii="Arial Narrow" w:eastAsia="Times New Roman" w:hAnsi="Arial Narrow" w:cs="Times New Roman"/>
          <w:color w:val="666666"/>
          <w:lang w:eastAsia="hr-HR"/>
        </w:rPr>
      </w:pPr>
    </w:p>
    <w:p w14:paraId="6D84159D" w14:textId="77777777" w:rsidR="00BC4F73" w:rsidRDefault="00BC4F73" w:rsidP="00BC4F73">
      <w:pPr>
        <w:spacing w:after="0" w:line="240" w:lineRule="auto"/>
        <w:rPr>
          <w:rFonts w:ascii="Arial Narrow" w:eastAsia="Times New Roman" w:hAnsi="Arial Narrow" w:cs="Times New Roman"/>
          <w:color w:val="666666"/>
          <w:lang w:eastAsia="hr-HR"/>
        </w:rPr>
      </w:pPr>
      <w:r>
        <w:rPr>
          <w:rFonts w:ascii="Arial Narrow" w:eastAsia="Times New Roman" w:hAnsi="Arial Narrow" w:cs="Times New Roman"/>
          <w:color w:val="666666"/>
          <w:lang w:eastAsia="hr-HR"/>
        </w:rPr>
        <w:t>POPIS KRATICA:</w:t>
      </w:r>
    </w:p>
    <w:p w14:paraId="6D84159E" w14:textId="77777777" w:rsidR="00BC4F73" w:rsidRPr="005F2F0F" w:rsidRDefault="00BC4F73" w:rsidP="00BC4F73">
      <w:pPr>
        <w:spacing w:after="0" w:line="240" w:lineRule="auto"/>
        <w:rPr>
          <w:rFonts w:ascii="Arial Narrow" w:eastAsia="Times New Roman" w:hAnsi="Arial Narrow" w:cs="Times New Roman"/>
          <w:color w:val="666666"/>
          <w:lang w:eastAsia="hr-HR"/>
        </w:rPr>
      </w:pPr>
    </w:p>
    <w:p w14:paraId="6D84159F" w14:textId="77777777" w:rsidR="00BC4F73" w:rsidRPr="005F2F0F" w:rsidRDefault="00BC4F73" w:rsidP="00BC4F73">
      <w:pPr>
        <w:spacing w:after="0"/>
        <w:rPr>
          <w:rFonts w:ascii="Arial Narrow" w:eastAsia="Times New Roman" w:hAnsi="Arial Narrow" w:cs="Times New Roman"/>
          <w:color w:val="666666"/>
          <w:lang w:eastAsia="hr-HR"/>
        </w:rPr>
      </w:pPr>
      <w:r w:rsidRPr="005F2F0F">
        <w:rPr>
          <w:rFonts w:ascii="Arial Narrow" w:eastAsia="Times New Roman" w:hAnsi="Arial Narrow" w:cs="Times New Roman"/>
          <w:color w:val="666666"/>
          <w:lang w:eastAsia="hr-HR"/>
        </w:rPr>
        <w:t>AZOO Agencija za odgoj i obrazovanje</w:t>
      </w:r>
    </w:p>
    <w:p w14:paraId="6D8415A0" w14:textId="77777777" w:rsidR="00BC4F73" w:rsidRPr="005F2F0F" w:rsidRDefault="00BC4F73" w:rsidP="00BC4F73">
      <w:pPr>
        <w:spacing w:after="0"/>
        <w:rPr>
          <w:rFonts w:ascii="Arial Narrow" w:eastAsia="Times New Roman" w:hAnsi="Arial Narrow" w:cs="Times New Roman"/>
          <w:color w:val="666666"/>
          <w:lang w:eastAsia="hr-HR"/>
        </w:rPr>
      </w:pPr>
      <w:r w:rsidRPr="005F2F0F">
        <w:rPr>
          <w:rFonts w:ascii="Arial Narrow" w:eastAsia="Times New Roman" w:hAnsi="Arial Narrow" w:cs="Times New Roman"/>
          <w:color w:val="666666"/>
          <w:lang w:eastAsia="hr-HR"/>
        </w:rPr>
        <w:t>EFZG Ekonomski fakultet Zagreb</w:t>
      </w:r>
    </w:p>
    <w:p w14:paraId="6D8415A1" w14:textId="77777777" w:rsidR="00BC4F73" w:rsidRPr="005F2F0F" w:rsidRDefault="00BC4F73" w:rsidP="00BC4F73">
      <w:pPr>
        <w:spacing w:after="0"/>
        <w:rPr>
          <w:rFonts w:ascii="Arial Narrow" w:eastAsia="Times New Roman" w:hAnsi="Arial Narrow" w:cs="Times New Roman"/>
          <w:color w:val="666666"/>
          <w:lang w:eastAsia="hr-HR"/>
        </w:rPr>
      </w:pPr>
      <w:r w:rsidRPr="005F2F0F">
        <w:rPr>
          <w:rFonts w:ascii="Arial Narrow" w:eastAsia="Times New Roman" w:hAnsi="Arial Narrow" w:cs="Times New Roman"/>
          <w:color w:val="666666"/>
          <w:lang w:eastAsia="hr-HR"/>
        </w:rPr>
        <w:t>FINA Financijska agencija</w:t>
      </w:r>
    </w:p>
    <w:p w14:paraId="6D8415A2" w14:textId="77777777" w:rsidR="00BC4F73" w:rsidRPr="005F2F0F" w:rsidRDefault="00BC4F73" w:rsidP="00BC4F73">
      <w:pPr>
        <w:spacing w:after="0"/>
        <w:rPr>
          <w:rFonts w:ascii="Arial Narrow" w:eastAsia="Times New Roman" w:hAnsi="Arial Narrow" w:cs="Times New Roman"/>
          <w:color w:val="666666"/>
          <w:lang w:eastAsia="hr-HR"/>
        </w:rPr>
      </w:pPr>
      <w:r w:rsidRPr="005F2F0F">
        <w:rPr>
          <w:rFonts w:ascii="Arial Narrow" w:eastAsia="Times New Roman" w:hAnsi="Arial Narrow" w:cs="Times New Roman"/>
          <w:color w:val="666666"/>
          <w:lang w:eastAsia="hr-HR"/>
        </w:rPr>
        <w:t>HANFA Hrvatska agencija za nadzor financijskih usluga</w:t>
      </w:r>
    </w:p>
    <w:p w14:paraId="6D8415A3" w14:textId="77777777" w:rsidR="00BC4F73" w:rsidRPr="005F2F0F" w:rsidRDefault="00BC4F73" w:rsidP="00BC4F73">
      <w:pPr>
        <w:spacing w:after="0"/>
        <w:rPr>
          <w:rFonts w:ascii="Arial Narrow" w:eastAsia="Times New Roman" w:hAnsi="Arial Narrow" w:cs="Times New Roman"/>
          <w:color w:val="666666"/>
          <w:lang w:eastAsia="hr-HR"/>
        </w:rPr>
      </w:pPr>
      <w:r w:rsidRPr="005F2F0F">
        <w:rPr>
          <w:rFonts w:ascii="Arial Narrow" w:eastAsia="Times New Roman" w:hAnsi="Arial Narrow" w:cs="Times New Roman"/>
          <w:color w:val="666666"/>
          <w:lang w:eastAsia="hr-HR"/>
        </w:rPr>
        <w:t>HGK Hrvatska gospodarska komora</w:t>
      </w:r>
    </w:p>
    <w:p w14:paraId="6D8415A4" w14:textId="77777777" w:rsidR="00BC4F73" w:rsidRPr="005F2F0F" w:rsidRDefault="00BC4F73" w:rsidP="00BC4F73">
      <w:pPr>
        <w:spacing w:after="0"/>
        <w:rPr>
          <w:rFonts w:ascii="Arial Narrow" w:eastAsia="Times New Roman" w:hAnsi="Arial Narrow" w:cs="Times New Roman"/>
          <w:color w:val="666666"/>
          <w:lang w:eastAsia="hr-HR"/>
        </w:rPr>
      </w:pPr>
      <w:r w:rsidRPr="005F2F0F">
        <w:rPr>
          <w:rFonts w:ascii="Arial Narrow" w:eastAsia="Times New Roman" w:hAnsi="Arial Narrow" w:cs="Times New Roman"/>
          <w:color w:val="666666"/>
          <w:lang w:eastAsia="hr-HR"/>
        </w:rPr>
        <w:t>HNB Hrvatska narodna banka</w:t>
      </w:r>
    </w:p>
    <w:p w14:paraId="6D8415A5" w14:textId="77777777" w:rsidR="00BC4F73" w:rsidRPr="005F2F0F" w:rsidRDefault="00BC4F73" w:rsidP="00BC4F73">
      <w:pPr>
        <w:spacing w:after="0"/>
        <w:rPr>
          <w:rFonts w:ascii="Arial Narrow" w:eastAsia="Times New Roman" w:hAnsi="Arial Narrow" w:cs="Times New Roman"/>
          <w:color w:val="666666"/>
          <w:lang w:eastAsia="hr-HR"/>
        </w:rPr>
      </w:pPr>
      <w:r w:rsidRPr="005F2F0F">
        <w:rPr>
          <w:rFonts w:ascii="Arial Narrow" w:eastAsia="Times New Roman" w:hAnsi="Arial Narrow" w:cs="Times New Roman"/>
          <w:color w:val="666666"/>
          <w:lang w:eastAsia="hr-HR"/>
        </w:rPr>
        <w:t>HUB Hrvatska udruga banaka</w:t>
      </w:r>
    </w:p>
    <w:p w14:paraId="6D8415A6" w14:textId="77777777" w:rsidR="00BC4F73" w:rsidRPr="005F2F0F" w:rsidRDefault="00BC4F73" w:rsidP="00BC4F73">
      <w:pPr>
        <w:spacing w:after="0"/>
        <w:rPr>
          <w:rFonts w:ascii="Arial Narrow" w:eastAsia="Times New Roman" w:hAnsi="Arial Narrow" w:cs="Times New Roman"/>
          <w:color w:val="666666"/>
          <w:lang w:eastAsia="hr-HR"/>
        </w:rPr>
      </w:pPr>
      <w:r w:rsidRPr="005F2F0F">
        <w:rPr>
          <w:rFonts w:ascii="Arial Narrow" w:eastAsia="Times New Roman" w:hAnsi="Arial Narrow" w:cs="Times New Roman"/>
          <w:color w:val="666666"/>
          <w:lang w:eastAsia="hr-HR"/>
        </w:rPr>
        <w:t>HUO Hrvatski ured za osiguranje</w:t>
      </w:r>
    </w:p>
    <w:p w14:paraId="6D8415A7" w14:textId="77777777" w:rsidR="00BC4F73" w:rsidRPr="005F2F0F" w:rsidRDefault="00BC4F73" w:rsidP="00BC4F73">
      <w:pPr>
        <w:spacing w:after="0"/>
        <w:rPr>
          <w:rFonts w:ascii="Arial Narrow" w:eastAsia="Times New Roman" w:hAnsi="Arial Narrow" w:cs="Times New Roman"/>
          <w:color w:val="666666"/>
          <w:lang w:eastAsia="hr-HR"/>
        </w:rPr>
      </w:pPr>
      <w:r w:rsidRPr="005F2F0F">
        <w:rPr>
          <w:rFonts w:ascii="Arial Narrow" w:eastAsia="Times New Roman" w:hAnsi="Arial Narrow" w:cs="Times New Roman"/>
          <w:color w:val="666666"/>
          <w:lang w:eastAsia="hr-HR"/>
        </w:rPr>
        <w:t>HUP Hrvatska udruga poslodavaca</w:t>
      </w:r>
    </w:p>
    <w:p w14:paraId="6D8415A8" w14:textId="77777777" w:rsidR="00BC4F73" w:rsidRPr="005F2F0F" w:rsidRDefault="00BC4F73" w:rsidP="00BC4F73">
      <w:pPr>
        <w:spacing w:after="0"/>
        <w:rPr>
          <w:rFonts w:ascii="Arial Narrow" w:eastAsia="Times New Roman" w:hAnsi="Arial Narrow" w:cs="Times New Roman"/>
          <w:color w:val="666666"/>
          <w:lang w:eastAsia="hr-HR"/>
        </w:rPr>
      </w:pPr>
      <w:r w:rsidRPr="005F2F0F">
        <w:rPr>
          <w:rFonts w:ascii="Arial Narrow" w:eastAsia="Times New Roman" w:hAnsi="Arial Narrow" w:cs="Times New Roman"/>
          <w:color w:val="666666"/>
          <w:lang w:eastAsia="hr-HR"/>
        </w:rPr>
        <w:t>MFIN Ministarstvo financija</w:t>
      </w:r>
    </w:p>
    <w:p w14:paraId="6D8415A9" w14:textId="77777777" w:rsidR="00BC4F73" w:rsidRPr="005F2F0F" w:rsidRDefault="00BC4F73" w:rsidP="00BC4F73">
      <w:pPr>
        <w:spacing w:after="0"/>
        <w:rPr>
          <w:rFonts w:ascii="Arial Narrow" w:eastAsia="Times New Roman" w:hAnsi="Arial Narrow" w:cs="Times New Roman"/>
          <w:color w:val="666666"/>
          <w:lang w:eastAsia="hr-HR"/>
        </w:rPr>
      </w:pPr>
      <w:r w:rsidRPr="005F2F0F">
        <w:rPr>
          <w:rFonts w:ascii="Arial Narrow" w:eastAsia="Times New Roman" w:hAnsi="Arial Narrow" w:cs="Times New Roman"/>
          <w:color w:val="666666"/>
          <w:lang w:eastAsia="hr-HR"/>
        </w:rPr>
        <w:t>MINGPO Ministarstvo gospodarstva, poduzetništva i obrta</w:t>
      </w:r>
    </w:p>
    <w:p w14:paraId="6D8415AA" w14:textId="77777777" w:rsidR="00BC4F73" w:rsidRPr="005F2F0F" w:rsidRDefault="00BC4F73" w:rsidP="00BC4F73">
      <w:pPr>
        <w:spacing w:after="0"/>
        <w:rPr>
          <w:rFonts w:ascii="Arial Narrow" w:eastAsia="Times New Roman" w:hAnsi="Arial Narrow" w:cs="Times New Roman"/>
          <w:color w:val="666666"/>
          <w:lang w:eastAsia="hr-HR"/>
        </w:rPr>
      </w:pPr>
      <w:r w:rsidRPr="005F2F0F">
        <w:rPr>
          <w:rFonts w:ascii="Arial Narrow" w:eastAsia="Times New Roman" w:hAnsi="Arial Narrow" w:cs="Times New Roman"/>
          <w:color w:val="666666"/>
          <w:lang w:eastAsia="hr-HR"/>
        </w:rPr>
        <w:t>MZO Ministarstvo znanosti i obrazovanja</w:t>
      </w:r>
    </w:p>
    <w:p w14:paraId="6D8415AB" w14:textId="77777777" w:rsidR="00BC4F73" w:rsidRPr="005F2F0F" w:rsidRDefault="00BC4F73" w:rsidP="00BC4F73">
      <w:pPr>
        <w:spacing w:after="0"/>
        <w:rPr>
          <w:rFonts w:ascii="Arial Narrow" w:eastAsia="Times New Roman" w:hAnsi="Arial Narrow" w:cs="Times New Roman"/>
          <w:color w:val="666666"/>
          <w:lang w:eastAsia="hr-HR"/>
        </w:rPr>
      </w:pPr>
      <w:r w:rsidRPr="005F2F0F">
        <w:rPr>
          <w:rFonts w:ascii="Arial Narrow" w:eastAsia="Times New Roman" w:hAnsi="Arial Narrow" w:cs="Times New Roman"/>
          <w:color w:val="666666"/>
          <w:lang w:eastAsia="hr-HR"/>
        </w:rPr>
        <w:t>OMF Obvezni mirovinski fondovi</w:t>
      </w:r>
    </w:p>
    <w:p w14:paraId="6D8415AC" w14:textId="77777777" w:rsidR="00BC4F73" w:rsidRDefault="00BC4F73" w:rsidP="00BC4F73">
      <w:pPr>
        <w:spacing w:after="0"/>
        <w:rPr>
          <w:rFonts w:ascii="Arial Narrow" w:eastAsia="Times New Roman" w:hAnsi="Arial Narrow" w:cs="Times New Roman"/>
          <w:color w:val="666666"/>
          <w:lang w:eastAsia="hr-HR"/>
        </w:rPr>
      </w:pPr>
      <w:r w:rsidRPr="005F2F0F">
        <w:rPr>
          <w:rFonts w:ascii="Arial Narrow" w:eastAsia="Times New Roman" w:hAnsi="Arial Narrow" w:cs="Times New Roman"/>
          <w:color w:val="666666"/>
          <w:lang w:eastAsia="hr-HR"/>
        </w:rPr>
        <w:t>DMF Dobrovoljni mirovinski fondovi</w:t>
      </w:r>
    </w:p>
    <w:p w14:paraId="6D8415AD" w14:textId="77777777" w:rsidR="00BF4B0E" w:rsidRPr="005F2F0F" w:rsidRDefault="00BF4B0E" w:rsidP="00BC4F73">
      <w:pPr>
        <w:spacing w:after="0"/>
        <w:rPr>
          <w:rFonts w:ascii="Arial Narrow" w:eastAsia="Times New Roman" w:hAnsi="Arial Narrow" w:cs="Times New Roman"/>
          <w:color w:val="666666"/>
          <w:lang w:eastAsia="hr-HR"/>
        </w:rPr>
      </w:pPr>
      <w:r>
        <w:rPr>
          <w:rFonts w:ascii="Arial Narrow" w:eastAsia="Times New Roman" w:hAnsi="Arial Narrow" w:cs="Times New Roman"/>
          <w:color w:val="666666"/>
          <w:lang w:eastAsia="hr-HR"/>
        </w:rPr>
        <w:t>SSSH Savez Samostalnih Sindikata Hrvatske</w:t>
      </w:r>
    </w:p>
    <w:p w14:paraId="6D8415AE" w14:textId="77777777" w:rsidR="00BC4F73" w:rsidRPr="005F2F0F" w:rsidRDefault="00BC4F73" w:rsidP="00BC4F73">
      <w:pPr>
        <w:spacing w:after="0"/>
        <w:rPr>
          <w:rFonts w:ascii="Arial Narrow" w:eastAsia="Times New Roman" w:hAnsi="Arial Narrow" w:cs="Times New Roman"/>
          <w:color w:val="666666"/>
          <w:lang w:eastAsia="hr-HR"/>
        </w:rPr>
      </w:pPr>
      <w:r w:rsidRPr="005F2F0F">
        <w:rPr>
          <w:rFonts w:ascii="Arial Narrow" w:eastAsia="Times New Roman" w:hAnsi="Arial Narrow" w:cs="Times New Roman"/>
          <w:color w:val="666666"/>
          <w:lang w:eastAsia="hr-HR"/>
        </w:rPr>
        <w:t>ŠTEDOPIS  Institut za financijsko obrazovanje</w:t>
      </w:r>
    </w:p>
    <w:p w14:paraId="6D8415AF" w14:textId="77777777" w:rsidR="00BC4F73" w:rsidRPr="005F2F0F" w:rsidRDefault="00BC4F73" w:rsidP="00BC4F73">
      <w:pPr>
        <w:spacing w:after="0"/>
        <w:rPr>
          <w:rFonts w:ascii="Arial Narrow" w:eastAsia="Times New Roman" w:hAnsi="Arial Narrow" w:cs="Times New Roman"/>
          <w:color w:val="666666"/>
          <w:lang w:eastAsia="hr-HR"/>
        </w:rPr>
      </w:pPr>
      <w:r w:rsidRPr="005F2F0F">
        <w:rPr>
          <w:rFonts w:ascii="Arial Narrow" w:eastAsia="Times New Roman" w:hAnsi="Arial Narrow" w:cs="Times New Roman"/>
          <w:color w:val="666666"/>
          <w:lang w:eastAsia="hr-HR"/>
        </w:rPr>
        <w:t>UMFO  Udruga društava za upravljanje mirovinskim fondovima i mirovinskih osiguravajućih društava</w:t>
      </w:r>
    </w:p>
    <w:p w14:paraId="6D8415B0" w14:textId="77777777" w:rsidR="00BC4F73" w:rsidRDefault="00BC4F73" w:rsidP="00BC4F73">
      <w:pPr>
        <w:spacing w:after="0"/>
        <w:rPr>
          <w:rFonts w:ascii="Arial Narrow" w:eastAsia="Times New Roman" w:hAnsi="Arial Narrow" w:cs="Times New Roman"/>
          <w:color w:val="666666"/>
          <w:lang w:eastAsia="hr-HR"/>
        </w:rPr>
      </w:pPr>
      <w:r w:rsidRPr="005F2F0F">
        <w:rPr>
          <w:rFonts w:ascii="Arial Narrow" w:eastAsia="Times New Roman" w:hAnsi="Arial Narrow" w:cs="Times New Roman"/>
          <w:color w:val="666666"/>
          <w:lang w:eastAsia="hr-HR"/>
        </w:rPr>
        <w:t>ZSE Zagrebačka burza</w:t>
      </w:r>
    </w:p>
    <w:p w14:paraId="6D8415B1" w14:textId="77777777" w:rsidR="0098510C" w:rsidRPr="009A5226" w:rsidRDefault="008039A6" w:rsidP="009A5226">
      <w:pPr>
        <w:spacing w:after="0"/>
        <w:rPr>
          <w:rFonts w:ascii="Arial Narrow" w:eastAsia="Times New Roman" w:hAnsi="Arial Narrow" w:cs="Times New Roman"/>
          <w:color w:val="666666"/>
          <w:lang w:eastAsia="hr-HR"/>
        </w:rPr>
      </w:pPr>
      <w:r>
        <w:rPr>
          <w:rFonts w:ascii="Arial Narrow" w:eastAsia="Times New Roman" w:hAnsi="Arial Narrow" w:cs="Times New Roman"/>
          <w:color w:val="666666"/>
          <w:lang w:eastAsia="hr-HR"/>
        </w:rPr>
        <w:t>HIFE Hrvatski institut za financijsku edukaciju</w:t>
      </w:r>
    </w:p>
    <w:sectPr w:rsidR="0098510C" w:rsidRPr="009A5226" w:rsidSect="002E6603">
      <w:footerReference w:type="defaul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415B6" w14:textId="77777777" w:rsidR="0027549E" w:rsidRDefault="0027549E">
      <w:pPr>
        <w:spacing w:after="0" w:line="240" w:lineRule="auto"/>
      </w:pPr>
      <w:r>
        <w:separator/>
      </w:r>
    </w:p>
  </w:endnote>
  <w:endnote w:type="continuationSeparator" w:id="0">
    <w:p w14:paraId="6D8415B7" w14:textId="77777777" w:rsidR="0027549E" w:rsidRDefault="00275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5517403"/>
      <w:docPartObj>
        <w:docPartGallery w:val="Page Numbers (Bottom of Page)"/>
        <w:docPartUnique/>
      </w:docPartObj>
    </w:sdtPr>
    <w:sdtEndPr/>
    <w:sdtContent>
      <w:p w14:paraId="6D8415B8" w14:textId="77777777" w:rsidR="00413D5B" w:rsidRDefault="00413D5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BAB">
          <w:rPr>
            <w:noProof/>
          </w:rPr>
          <w:t>19</w:t>
        </w:r>
        <w:r>
          <w:fldChar w:fldCharType="end"/>
        </w:r>
      </w:p>
    </w:sdtContent>
  </w:sdt>
  <w:p w14:paraId="6D8415B9" w14:textId="77777777" w:rsidR="00413D5B" w:rsidRDefault="00413D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415B4" w14:textId="77777777" w:rsidR="0027549E" w:rsidRDefault="0027549E">
      <w:pPr>
        <w:spacing w:after="0" w:line="240" w:lineRule="auto"/>
      </w:pPr>
      <w:r>
        <w:separator/>
      </w:r>
    </w:p>
  </w:footnote>
  <w:footnote w:type="continuationSeparator" w:id="0">
    <w:p w14:paraId="6D8415B5" w14:textId="77777777" w:rsidR="0027549E" w:rsidRDefault="00275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F7A8F"/>
    <w:multiLevelType w:val="hybridMultilevel"/>
    <w:tmpl w:val="09B848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516078"/>
    <w:multiLevelType w:val="hybridMultilevel"/>
    <w:tmpl w:val="5C08FA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73"/>
    <w:rsid w:val="00047253"/>
    <w:rsid w:val="00064C62"/>
    <w:rsid w:val="0006555A"/>
    <w:rsid w:val="00074B35"/>
    <w:rsid w:val="00081A77"/>
    <w:rsid w:val="00094CB5"/>
    <w:rsid w:val="0009642D"/>
    <w:rsid w:val="000D0DF9"/>
    <w:rsid w:val="000D4BDD"/>
    <w:rsid w:val="000F3446"/>
    <w:rsid w:val="001227D9"/>
    <w:rsid w:val="00127685"/>
    <w:rsid w:val="00136F64"/>
    <w:rsid w:val="001B041D"/>
    <w:rsid w:val="001D5642"/>
    <w:rsid w:val="00263BFF"/>
    <w:rsid w:val="002717F1"/>
    <w:rsid w:val="0027549E"/>
    <w:rsid w:val="002A66EC"/>
    <w:rsid w:val="002E6603"/>
    <w:rsid w:val="002E77EF"/>
    <w:rsid w:val="00322474"/>
    <w:rsid w:val="00342C6B"/>
    <w:rsid w:val="00352239"/>
    <w:rsid w:val="00364CED"/>
    <w:rsid w:val="003B2259"/>
    <w:rsid w:val="003E436F"/>
    <w:rsid w:val="003E77C7"/>
    <w:rsid w:val="00413D5B"/>
    <w:rsid w:val="00416697"/>
    <w:rsid w:val="004211E5"/>
    <w:rsid w:val="004314E9"/>
    <w:rsid w:val="00471CC1"/>
    <w:rsid w:val="00492B82"/>
    <w:rsid w:val="004C4C46"/>
    <w:rsid w:val="004E0BDA"/>
    <w:rsid w:val="004F2BD7"/>
    <w:rsid w:val="004F4D82"/>
    <w:rsid w:val="00507133"/>
    <w:rsid w:val="00507A86"/>
    <w:rsid w:val="00532E3F"/>
    <w:rsid w:val="00566DDB"/>
    <w:rsid w:val="005F2EBD"/>
    <w:rsid w:val="00602D97"/>
    <w:rsid w:val="00610254"/>
    <w:rsid w:val="00615D1F"/>
    <w:rsid w:val="00615E99"/>
    <w:rsid w:val="006359E1"/>
    <w:rsid w:val="00651F8F"/>
    <w:rsid w:val="0065725F"/>
    <w:rsid w:val="006A714F"/>
    <w:rsid w:val="0074200B"/>
    <w:rsid w:val="00744011"/>
    <w:rsid w:val="007468E0"/>
    <w:rsid w:val="00747E86"/>
    <w:rsid w:val="0077462A"/>
    <w:rsid w:val="00790675"/>
    <w:rsid w:val="007A59A9"/>
    <w:rsid w:val="007B5BAB"/>
    <w:rsid w:val="007C0205"/>
    <w:rsid w:val="007E6C14"/>
    <w:rsid w:val="008039A6"/>
    <w:rsid w:val="00807A6D"/>
    <w:rsid w:val="008211B2"/>
    <w:rsid w:val="008A4BF3"/>
    <w:rsid w:val="0091450E"/>
    <w:rsid w:val="00916142"/>
    <w:rsid w:val="0093772A"/>
    <w:rsid w:val="0095692D"/>
    <w:rsid w:val="009609BD"/>
    <w:rsid w:val="00975629"/>
    <w:rsid w:val="0098510C"/>
    <w:rsid w:val="00986340"/>
    <w:rsid w:val="0099019C"/>
    <w:rsid w:val="00994213"/>
    <w:rsid w:val="009A5226"/>
    <w:rsid w:val="00A46D66"/>
    <w:rsid w:val="00A612D6"/>
    <w:rsid w:val="00A619FE"/>
    <w:rsid w:val="00A64FA7"/>
    <w:rsid w:val="00A851EC"/>
    <w:rsid w:val="00AA7620"/>
    <w:rsid w:val="00AB32A0"/>
    <w:rsid w:val="00B05A72"/>
    <w:rsid w:val="00B11449"/>
    <w:rsid w:val="00B21BA8"/>
    <w:rsid w:val="00B56101"/>
    <w:rsid w:val="00B63524"/>
    <w:rsid w:val="00B776DA"/>
    <w:rsid w:val="00B878C4"/>
    <w:rsid w:val="00BA2340"/>
    <w:rsid w:val="00BB4ED8"/>
    <w:rsid w:val="00BB6EA9"/>
    <w:rsid w:val="00BC4F73"/>
    <w:rsid w:val="00BD2B75"/>
    <w:rsid w:val="00BE5643"/>
    <w:rsid w:val="00BF4B0E"/>
    <w:rsid w:val="00BF625D"/>
    <w:rsid w:val="00C003A5"/>
    <w:rsid w:val="00C1777C"/>
    <w:rsid w:val="00C22226"/>
    <w:rsid w:val="00C24CD5"/>
    <w:rsid w:val="00C3412F"/>
    <w:rsid w:val="00C61889"/>
    <w:rsid w:val="00C63A01"/>
    <w:rsid w:val="00C650B7"/>
    <w:rsid w:val="00C755D7"/>
    <w:rsid w:val="00CD4F58"/>
    <w:rsid w:val="00CE71EF"/>
    <w:rsid w:val="00D04DFE"/>
    <w:rsid w:val="00D158FF"/>
    <w:rsid w:val="00D16C4D"/>
    <w:rsid w:val="00D64C0F"/>
    <w:rsid w:val="00D652EE"/>
    <w:rsid w:val="00DA78E2"/>
    <w:rsid w:val="00DC07DC"/>
    <w:rsid w:val="00DD18AE"/>
    <w:rsid w:val="00DE715B"/>
    <w:rsid w:val="00E12859"/>
    <w:rsid w:val="00E71DB7"/>
    <w:rsid w:val="00E827F9"/>
    <w:rsid w:val="00E90C3F"/>
    <w:rsid w:val="00E96906"/>
    <w:rsid w:val="00EB1F9B"/>
    <w:rsid w:val="00ED3C2F"/>
    <w:rsid w:val="00F13525"/>
    <w:rsid w:val="00F31537"/>
    <w:rsid w:val="00F31D43"/>
    <w:rsid w:val="00F43309"/>
    <w:rsid w:val="00F855A6"/>
    <w:rsid w:val="00F95B3B"/>
    <w:rsid w:val="00FF21DD"/>
    <w:rsid w:val="00FF2D05"/>
    <w:rsid w:val="00FF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40EFB"/>
  <w15:docId w15:val="{D299A006-C267-4E7E-84F2-19B9B84F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C4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F73"/>
  </w:style>
  <w:style w:type="paragraph" w:styleId="BalloonText">
    <w:name w:val="Balloon Text"/>
    <w:basedOn w:val="Normal"/>
    <w:link w:val="BalloonTextChar"/>
    <w:uiPriority w:val="99"/>
    <w:semiHidden/>
    <w:unhideWhenUsed/>
    <w:rsid w:val="002E6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6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0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mvp.hr/mvprh-www/grafika/periodika/grb-hr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973E1-8BC5-4C4B-BA9A-3B819641E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4651</Words>
  <Characters>26517</Characters>
  <Application>Microsoft Office Word</Application>
  <DocSecurity>4</DocSecurity>
  <Lines>220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mfklo</dc:creator>
  <cp:lastModifiedBy>Vlatka Šelimber</cp:lastModifiedBy>
  <cp:revision>2</cp:revision>
  <cp:lastPrinted>2019-03-04T15:07:00Z</cp:lastPrinted>
  <dcterms:created xsi:type="dcterms:W3CDTF">2019-03-15T08:00:00Z</dcterms:created>
  <dcterms:modified xsi:type="dcterms:W3CDTF">2019-03-15T08:00:00Z</dcterms:modified>
</cp:coreProperties>
</file>